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End w:id="0"/>
    <w:p>
      <w:pPr>
        <w:spacing w:after="0" w:line="240" w:lineRule="auto"/>
      </w:pPr>
      <w:r>
        <w:rPr>
          <w:rFonts w:ascii="Calibri" w:hAnsi="Calibri"/>
          <w:b/>
          <w:sz w:val="22"/>
        </w:rPr>
        <w:t>John Holstein, RPh</w:t>
      </w:r>
    </w:p>
    <w:p>
      <w:pPr>
        <w:spacing w:after="0" w:line="240" w:lineRule="auto"/>
      </w:pPr>
      <w:r>
        <w:rPr>
          <w:rFonts w:ascii="Calibri" w:hAnsi="Calibri"/>
          <w:b/>
          <w:sz w:val="22"/>
        </w:rPr>
        <w:t>Atlanta, GA, Remote or Hybrid within Atlanta Metro Area</w:t>
      </w:r>
    </w:p>
    <w:p>
      <w:pPr>
        <w:spacing w:after="0" w:line="240" w:lineRule="auto"/>
      </w:pPr>
      <w:r>
        <w:rPr>
          <w:rFonts w:ascii="Calibri" w:hAnsi="Calibri"/>
          <w:b w:val="0"/>
          <w:sz w:val="22"/>
        </w:rPr>
        <w:t>(404) 790-1656 | jholstei@icloud.com | linkedin.com/in/johnholstein</w:t>
      </w:r>
    </w:p>
    <w:p>
      <w:pPr>
        <w:spacing w:line="240" w:lineRule="auto"/>
      </w:pPr>
    </w:p>
    <w:p>
      <w:pPr>
        <w:spacing w:after="0" w:line="240" w:lineRule="auto"/>
      </w:pPr>
      <w:r>
        <w:rPr>
          <w:rFonts w:ascii="Calibri" w:hAnsi="Calibri"/>
          <w:b/>
          <w:sz w:val="22"/>
        </w:rPr>
        <w:t>Senior Scientist, Pharmaceutical AI and Safety Knowledge Systems</w:t>
      </w:r>
    </w:p>
    <w:p>
      <w:pPr>
        <w:spacing w:after="0" w:line="240" w:lineRule="auto"/>
      </w:pPr>
      <w:r>
        <w:rPr>
          <w:rFonts w:ascii="Calibri" w:hAnsi="Calibri"/>
          <w:b/>
          <w:sz w:val="22"/>
        </w:rPr>
        <w:t>Agentic AI | Evidence-Grounded RAG | Regulatory Knowledge Graphs</w:t>
      </w:r>
    </w:p>
    <w:p>
      <w:pPr>
        <w:spacing w:line="240" w:lineRule="auto"/>
      </w:pPr>
    </w:p>
    <w:p>
      <w:pPr>
        <w:spacing w:after="0" w:line="240" w:lineRule="auto"/>
      </w:pPr>
      <w:r>
        <w:rPr>
          <w:rFonts w:ascii="Calibri" w:hAnsi="Calibri"/>
          <w:b/>
          <w:caps/>
          <w:sz w:val="22"/>
        </w:rPr>
        <w:t>Skills</w:t>
      </w:r>
    </w:p>
    <w:p>
      <w:pPr>
        <w:spacing w:line="240" w:lineRule="auto"/>
      </w:pPr>
    </w:p>
    <w:p>
      <w:pPr>
        <w:pStyle w:val="ListParagraph"/>
        <w:spacing w:after="0" w:line="240" w:lineRule="auto"/>
        <w:numPr>
          <w:ilvl w:val="0"/>
          <w:numId w:val="2"/>
        </w:numPr>
      </w:pPr>
      <w:r>
        <w:rPr>
          <w:rFonts w:ascii="Calibri" w:hAnsi="Calibri"/>
          <w:sz w:val="22"/>
        </w:rPr>
        <w:t>AI and Agent Systems: Python, LLM APIs, Agentic AI, Multi-Agent Orchestration, Structured Outputs, RAG, Prompt Engineering, Hallucination Mitigation, Supervised ML, NLP, Predictive Analytics, Human-in-the-Loop Design</w:t>
      </w:r>
    </w:p>
    <w:p>
      <w:pPr>
        <w:pStyle w:val="ListParagraph"/>
        <w:spacing w:after="0" w:line="240" w:lineRule="auto"/>
        <w:numPr>
          <w:ilvl w:val="0"/>
          <w:numId w:val="2"/>
        </w:numPr>
      </w:pPr>
      <w:r>
        <w:rPr>
          <w:rFonts w:ascii="Calibri" w:hAnsi="Calibri"/>
          <w:sz w:val="22"/>
        </w:rPr>
        <w:t>Retrieval and Knowledge Systems: Scientific Document Extraction, Embeddings, Vector Search, Semantic Layers, Ontologies, Knowledge Graphs, Citation Traceability, Content Provenance, Self-Hosted Inference</w:t>
      </w:r>
    </w:p>
    <w:p>
      <w:pPr>
        <w:pStyle w:val="ListParagraph"/>
        <w:spacing w:after="0" w:line="240" w:lineRule="auto"/>
        <w:numPr>
          <w:ilvl w:val="0"/>
          <w:numId w:val="2"/>
        </w:numPr>
      </w:pPr>
      <w:r>
        <w:rPr>
          <w:rFonts w:ascii="Calibri" w:hAnsi="Calibri"/>
          <w:sz w:val="22"/>
        </w:rPr>
        <w:t>Evaluation and MLOps: Groundedness, Factual Accuracy, Coverage, Blinded LLM Judges, HHEM, BERTScore, DeepEval, Langfuse, MLflow, Model Registries, GitHub Actions</w:t>
      </w:r>
    </w:p>
    <w:p>
      <w:pPr>
        <w:pStyle w:val="ListParagraph"/>
        <w:spacing w:after="0" w:line="240" w:lineRule="auto"/>
        <w:numPr>
          <w:ilvl w:val="0"/>
          <w:numId w:val="2"/>
        </w:numPr>
      </w:pPr>
      <w:r>
        <w:rPr>
          <w:rFonts w:ascii="Calibri" w:hAnsi="Calibri"/>
          <w:sz w:val="22"/>
        </w:rPr>
        <w:t>Regulatory and Safety: ICH M4Q, M4S, M4E, CTD, GxP, FDA, NRC, CMS, HIPAA, 21 CFR Part 11, ALCOA+, cGMP, CAPA, Adverse-Event Review, Product-Complaint Trending, Exposure and Dosimetry</w:t>
      </w:r>
    </w:p>
    <w:p>
      <w:pPr>
        <w:pStyle w:val="ListParagraph"/>
        <w:spacing w:after="0" w:line="240" w:lineRule="auto"/>
        <w:numPr>
          <w:ilvl w:val="0"/>
          <w:numId w:val="2"/>
        </w:numPr>
      </w:pPr>
      <w:r>
        <w:rPr>
          <w:rFonts w:ascii="Calibri" w:hAnsi="Calibri"/>
          <w:sz w:val="22"/>
        </w:rPr>
        <w:t>Cloud and Data: PostgreSQL, AWS S3 and Redshift, Databricks, Snowflake, Veeva Vault and RIM, Alation, SAP, JDE, EHR, Automated Dispensing, IoT and Sensor Integration</w:t>
      </w:r>
    </w:p>
    <w:p>
      <w:pPr>
        <w:pStyle w:val="ListParagraph"/>
        <w:spacing w:after="0" w:line="240" w:lineRule="auto"/>
        <w:numPr>
          <w:ilvl w:val="0"/>
          <w:numId w:val="2"/>
        </w:numPr>
      </w:pPr>
      <w:r>
        <w:rPr>
          <w:rFonts w:ascii="Calibri" w:hAnsi="Calibri"/>
          <w:sz w:val="22"/>
        </w:rPr>
        <w:t>Healthcare Standards: FHIR, HL7, Epic, Cerner, AllScripts, Meditech, BD Pyxis, Omnicell, EUDAMED, EU MDR, UDI, CMS Reporting, MeSH/UMLS</w:t>
      </w:r>
    </w:p>
    <w:p>
      <w:pPr>
        <w:pStyle w:val="ListParagraph"/>
        <w:spacing w:after="0" w:line="240" w:lineRule="auto"/>
        <w:numPr>
          <w:ilvl w:val="0"/>
          <w:numId w:val="2"/>
        </w:numPr>
      </w:pPr>
      <w:r>
        <w:rPr>
          <w:rFonts w:ascii="Calibri" w:hAnsi="Calibri"/>
          <w:sz w:val="22"/>
        </w:rPr>
        <w:t>Methodology: Lean Six Sigma DMAIC and DMADV, SAFe 6.0, Agile, Requirements Analysis, Cross-Functional Leadership, Executive Communication</w:t>
      </w:r>
    </w:p>
    <w:p>
      <w:pPr>
        <w:spacing w:line="240" w:lineRule="auto"/>
      </w:pPr>
    </w:p>
    <w:p>
      <w:pPr>
        <w:spacing w:after="0" w:line="240" w:lineRule="auto"/>
      </w:pPr>
      <w:r>
        <w:rPr>
          <w:rFonts w:ascii="Calibri" w:hAnsi="Calibri"/>
          <w:b/>
          <w:caps/>
          <w:sz w:val="22"/>
        </w:rPr>
        <w:t>Summary</w:t>
      </w:r>
    </w:p>
    <w:p>
      <w:pPr>
        <w:spacing w:line="240" w:lineRule="auto"/>
      </w:pPr>
    </w:p>
    <w:p>
      <w:pPr>
        <w:spacing w:after="0" w:line="240" w:lineRule="auto"/>
      </w:pPr>
      <w:r>
        <w:rPr>
          <w:rFonts w:ascii="Calibri" w:hAnsi="Calibri"/>
          <w:sz w:val="22"/>
        </w:rPr>
        <w:t>Pharmacist, registered nuclear pharmacist, and hands-on AI architect who turns regulated scientific documents and operational data into traceable outputs that domain experts can defend. Builds production Python, RAG, agent, evaluation, semantic, and ontology systems across pharmaceutical, medical-device, payer, hospital, and scientific-publishing environments. At Amgen, helped architect a GxP-controlled GenAI platform for ICH M4 regulatory content that reduced CMC drafting time 40 percent and expanded from Quality and CMC into Safety and Efficacy. At NewsRx, built the self-hosted biomedical LLM, evaluation, provenance, and SME-review pipeline. Earlier work joins 23 years of nuclear-pharmacy safety practice with drug-diversion ML deployed across more than 300 hospitals.</w:t>
      </w:r>
    </w:p>
    <w:p>
      <w:pPr>
        <w:spacing w:line="240" w:lineRule="auto"/>
      </w:pPr>
    </w:p>
    <w:p>
      <w:pPr>
        <w:spacing w:after="0" w:line="240" w:lineRule="auto"/>
      </w:pPr>
      <w:r>
        <w:rPr>
          <w:rFonts w:ascii="Calibri" w:hAnsi="Calibri"/>
          <w:b/>
          <w:caps/>
          <w:sz w:val="22"/>
        </w:rPr>
        <w:t>Professional Experience</w:t>
      </w:r>
    </w:p>
    <w:p>
      <w:pPr>
        <w:spacing w:line="240" w:lineRule="auto"/>
      </w:pPr>
    </w:p>
    <w:p>
      <w:pPr>
        <w:spacing w:after="0" w:line="240" w:lineRule="auto"/>
      </w:pPr>
      <w:r>
        <w:rPr>
          <w:rFonts w:ascii="Calibri" w:hAnsi="Calibri"/>
          <w:b/>
          <w:sz w:val="22"/>
        </w:rPr>
        <w:t>Principal AI Solutions Architect, GenAI Platform</w:t>
      </w:r>
    </w:p>
    <w:p>
      <w:pPr>
        <w:spacing w:after="0" w:line="240" w:lineRule="auto"/>
      </w:pPr>
      <w:r>
        <w:rPr>
          <w:rFonts w:ascii="Calibri" w:hAnsi="Calibri"/>
          <w:b/>
          <w:sz w:val="22"/>
        </w:rPr>
        <w:t>NewsRx, Atlanta, GA Remote (Corp to Corp Contract through 4Shadow Analytix)</w:t>
      </w:r>
    </w:p>
    <w:p>
      <w:pPr>
        <w:spacing w:after="0" w:line="240" w:lineRule="auto"/>
      </w:pPr>
      <w:r>
        <w:rPr>
          <w:rFonts w:ascii="Calibri" w:hAnsi="Calibri"/>
          <w:b/>
          <w:sz w:val="22"/>
        </w:rPr>
        <w:t>Nov 2025 to Present</w:t>
      </w:r>
    </w:p>
    <w:p>
      <w:pPr>
        <w:pStyle w:val="ListParagraph"/>
        <w:spacing w:after="0" w:line="240" w:lineRule="auto"/>
        <w:numPr>
          <w:ilvl w:val="0"/>
          <w:numId w:val="2"/>
        </w:numPr>
      </w:pPr>
      <w:r>
        <w:rPr>
          <w:rFonts w:ascii="Calibri" w:hAnsi="Calibri"/>
          <w:sz w:val="22"/>
        </w:rPr>
        <w:t>Architecting self-hosted LLM infrastructure for biomedical summarization at scale, eliminating vendor API dependency and achieving 950+ document throughput; controlled experimentation across 27 prompt iterations improved factual grounding 18%.</w:t>
      </w:r>
    </w:p>
    <w:p>
      <w:pPr>
        <w:pStyle w:val="ListParagraph"/>
        <w:spacing w:after="0" w:line="240" w:lineRule="auto"/>
        <w:numPr>
          <w:ilvl w:val="0"/>
          <w:numId w:val="2"/>
        </w:numPr>
      </w:pPr>
      <w:r>
        <w:rPr>
          <w:rFonts w:ascii="Calibri" w:hAnsi="Calibri"/>
          <w:sz w:val="22"/>
        </w:rPr>
        <w:t>Architected a DMAIC-measured evaluation pipeline: four clinically-specialized LLM judges score biomedical summaries blind, cross-correlated against HHEM and BERTScore to surface defects single-metric scoring misses.</w:t>
      </w:r>
    </w:p>
    <w:p>
      <w:pPr>
        <w:pStyle w:val="ListParagraph"/>
        <w:spacing w:after="0" w:line="240" w:lineRule="auto"/>
        <w:numPr>
          <w:ilvl w:val="0"/>
          <w:numId w:val="2"/>
        </w:numPr>
      </w:pPr>
      <w:r>
        <w:rPr>
          <w:rFonts w:ascii="Calibri" w:hAnsi="Calibri"/>
          <w:sz w:val="22"/>
        </w:rPr>
        <w:t>Built feed-agnostic medallion data pipeline (bronze/silver/gold to PostgreSQL) processing any NewsRx content source, with 2,600+ records ingested across 6 production runs and data structures purpose-built for ML training and AI inference.</w:t>
      </w:r>
    </w:p>
    <w:p>
      <w:pPr>
        <w:pStyle w:val="ListParagraph"/>
        <w:spacing w:after="0" w:line="240" w:lineRule="auto"/>
        <w:numPr>
          <w:ilvl w:val="0"/>
          <w:numId w:val="2"/>
        </w:numPr>
      </w:pPr>
      <w:r>
        <w:rPr>
          <w:rFonts w:ascii="Calibri" w:hAnsi="Calibri"/>
          <w:sz w:val="22"/>
        </w:rPr>
        <w:t>Delivered 8-week POC SOW as sole contributor against a four-person staffing plan, exceeding contracted scope with PostgreSQL database, web application, SME review system, and GxP governance framework; overdelivery converted a one-time POC to a direct MVP engagement through 4Shadow Analytix.</w:t>
      </w:r>
    </w:p>
    <w:p>
      <w:pPr>
        <w:pStyle w:val="ListParagraph"/>
        <w:spacing w:after="0" w:line="240" w:lineRule="auto"/>
        <w:numPr>
          <w:ilvl w:val="0"/>
          <w:numId w:val="2"/>
        </w:numPr>
      </w:pPr>
      <w:r>
        <w:rPr>
          <w:rFonts w:ascii="Calibri" w:hAnsi="Calibri"/>
          <w:sz w:val="22"/>
        </w:rPr>
        <w:t>Established pharmaceutical-grade compliance infrastructure (ALCOA+ audit trail, 21 CFR Part 11 electronic signatures, Data Vault 2.0 provenance) across the LLM pipeline; four-layer quality assurance achieves 88% human reviewer preference for AI-generated content over originals, with automated hallucination detection and semantic fidelity gates upstream of human review.</w:t>
      </w:r>
    </w:p>
    <w:p>
      <w:pPr>
        <w:spacing w:after="0" w:line="240" w:lineRule="auto"/>
      </w:pPr>
      <w:r>
        <w:rPr>
          <w:rFonts w:ascii="Calibri" w:hAnsi="Calibri"/>
          <w:b/>
          <w:sz w:val="22"/>
        </w:rPr>
        <w:t xml:space="preserve">Relevant Skills: </w:t>
      </w:r>
      <w:r>
        <w:rPr>
          <w:rFonts w:ascii="Calibri" w:hAnsi="Calibri"/>
          <w:sz w:val="22"/>
        </w:rPr>
        <w:t>AI Solution Architecture, LLM Infrastructure Strategy, Multi-Agent Evaluation Architecture, Data Pipeline Architecture, ML Data Architecture, Hallucination Mitigation, Human-in-the-Loop Design, GxP-Validated AI, Scientific Content Governance, Quality Framework Design, Controlled Experimentation, AI Quality Assurance</w:t>
      </w:r>
    </w:p>
    <w:p>
      <w:pPr>
        <w:spacing w:after="0" w:line="240" w:lineRule="auto"/>
      </w:pPr>
      <w:r>
        <w:rPr>
          <w:rFonts w:ascii="Calibri" w:hAnsi="Calibri"/>
          <w:b/>
          <w:sz w:val="22"/>
        </w:rPr>
        <w:t xml:space="preserve">Technical Skills: </w:t>
      </w:r>
      <w:r>
        <w:rPr>
          <w:rFonts w:ascii="Calibri" w:hAnsi="Calibri"/>
          <w:sz w:val="22"/>
        </w:rPr>
        <w:t>vLLM, Qwen3-32B, Anthropic Claude API, Model Context Protocol (MCP), Self-Hosted Inference, RunPod GPU Infrastructure, MLflow, DeepEval, Langfuse, ALCOA+ Audit Trail, 21 CFR Part 11, Data Vault 2.0, Bespoke-MiniCheck-7B, HHEM, BERTScore, Biomedical NLP, Bronze/Silver/Gold Data Layers, PostgreSQL, AWS RDS, Pydantic, Polars, Python, Streamlit, Render</w:t>
      </w:r>
    </w:p>
    <w:p>
      <w:pPr>
        <w:spacing w:line="240" w:lineRule="auto"/>
      </w:pPr>
    </w:p>
    <w:p>
      <w:pPr>
        <w:spacing w:after="0" w:line="240" w:lineRule="auto"/>
      </w:pPr>
      <w:r>
        <w:rPr>
          <w:rFonts w:ascii="Calibri" w:hAnsi="Calibri"/>
          <w:b/>
          <w:sz w:val="22"/>
        </w:rPr>
        <w:t>Business Analytics Principal, Value Based Medicine</w:t>
      </w:r>
    </w:p>
    <w:p>
      <w:pPr>
        <w:spacing w:after="0" w:line="240" w:lineRule="auto"/>
      </w:pPr>
      <w:r>
        <w:rPr>
          <w:rFonts w:ascii="Calibri" w:hAnsi="Calibri"/>
          <w:b/>
          <w:sz w:val="22"/>
        </w:rPr>
        <w:t>EVERNORTH (Cigna Group), Atlanta, GA Remote (Contract W2 employee through Pyramid Consulting)</w:t>
      </w:r>
    </w:p>
    <w:p>
      <w:pPr>
        <w:spacing w:after="0" w:line="240" w:lineRule="auto"/>
      </w:pPr>
      <w:r>
        <w:rPr>
          <w:rFonts w:ascii="Calibri" w:hAnsi="Calibri"/>
          <w:b/>
          <w:sz w:val="22"/>
        </w:rPr>
        <w:t>Mar 2025 to Sep 2025</w:t>
      </w:r>
    </w:p>
    <w:p>
      <w:pPr>
        <w:pStyle w:val="ListParagraph"/>
        <w:spacing w:after="0" w:line="240" w:lineRule="auto"/>
        <w:numPr>
          <w:ilvl w:val="0"/>
          <w:numId w:val="2"/>
        </w:numPr>
      </w:pPr>
      <w:r>
        <w:rPr>
          <w:rFonts w:ascii="Calibri" w:hAnsi="Calibri"/>
          <w:sz w:val="22"/>
        </w:rPr>
        <w:t>Designed AI solution architecture for real-time advocacy ecosystem using NLP and predictive analytics, earning iTournament finalist recognition (top 8 of 220 enterprise submissions).</w:t>
      </w:r>
    </w:p>
    <w:p>
      <w:pPr>
        <w:pStyle w:val="ListParagraph"/>
        <w:spacing w:after="0" w:line="240" w:lineRule="auto"/>
        <w:numPr>
          <w:ilvl w:val="0"/>
          <w:numId w:val="2"/>
        </w:numPr>
      </w:pPr>
      <w:r>
        <w:rPr>
          <w:rFonts w:ascii="Calibri" w:hAnsi="Calibri"/>
          <w:sz w:val="22"/>
        </w:rPr>
        <w:t>Inherited fragmented data environment with no governance. Built enterprise semantic data layer using Tableau, Python, GitHub, Confluence. Delivered data dictionary, report dictionary, and Alation/Databricks-ready architecture. Scope typically requires 5-person consulting team over 1-2 years.</w:t>
      </w:r>
    </w:p>
    <w:p>
      <w:pPr>
        <w:pStyle w:val="ListParagraph"/>
        <w:spacing w:after="0" w:line="240" w:lineRule="auto"/>
        <w:numPr>
          <w:ilvl w:val="0"/>
          <w:numId w:val="2"/>
        </w:numPr>
      </w:pPr>
      <w:r>
        <w:rPr>
          <w:rFonts w:ascii="Calibri" w:hAnsi="Calibri"/>
          <w:sz w:val="22"/>
        </w:rPr>
        <w:t>Standardized KPI definitions across 147 CMS reports, resolving conflicting executive interpretations and establishing consistent analytics for value-based care reporting.</w:t>
      </w:r>
    </w:p>
    <w:p>
      <w:pPr>
        <w:pStyle w:val="ListParagraph"/>
        <w:spacing w:after="0" w:line="240" w:lineRule="auto"/>
        <w:numPr>
          <w:ilvl w:val="0"/>
          <w:numId w:val="2"/>
        </w:numPr>
      </w:pPr>
      <w:r>
        <w:rPr>
          <w:rFonts w:ascii="Calibri" w:hAnsi="Calibri"/>
          <w:sz w:val="22"/>
        </w:rPr>
        <w:t>Remediated orphan Epic provider data (Evernorth Healthcare Group) feeding CMS and Cigna payer systems, enabling successful divestiture.</w:t>
      </w:r>
    </w:p>
    <w:p>
      <w:pPr>
        <w:pStyle w:val="ListParagraph"/>
        <w:spacing w:after="0" w:line="240" w:lineRule="auto"/>
        <w:numPr>
          <w:ilvl w:val="0"/>
          <w:numId w:val="2"/>
        </w:numPr>
      </w:pPr>
      <w:r>
        <w:rPr>
          <w:rFonts w:ascii="Calibri" w:hAnsi="Calibri"/>
          <w:sz w:val="22"/>
        </w:rPr>
        <w:t>Delivered governed data infrastructure enabling automated CMS reporting and AI readiness with no incremental budget.</w:t>
      </w:r>
    </w:p>
    <w:p>
      <w:pPr>
        <w:spacing w:after="0" w:line="240" w:lineRule="auto"/>
      </w:pPr>
      <w:r>
        <w:rPr>
          <w:rFonts w:ascii="Calibri" w:hAnsi="Calibri"/>
          <w:b/>
          <w:sz w:val="22"/>
        </w:rPr>
        <w:t xml:space="preserve">Relevant Skills: </w:t>
      </w:r>
      <w:r>
        <w:rPr>
          <w:rFonts w:ascii="Calibri" w:hAnsi="Calibri"/>
          <w:sz w:val="22"/>
        </w:rPr>
        <w:t>AI Solution Architecture, Semantic Data Architecture, Enterprise Data Governance, NLP/Predictive Analytics, Healthcare Analytics, Value-Based Care Analytics, EHR Integration (Epic), Regulatory Compliance (CMS/HIPAA), Enterprise AI Infrastructure, Data Product Strategy</w:t>
      </w:r>
    </w:p>
    <w:p>
      <w:pPr>
        <w:spacing w:after="0" w:line="240" w:lineRule="auto"/>
      </w:pPr>
      <w:r>
        <w:rPr>
          <w:rFonts w:ascii="Calibri" w:hAnsi="Calibri"/>
          <w:b/>
          <w:sz w:val="22"/>
        </w:rPr>
        <w:t xml:space="preserve">Technical Skills: </w:t>
      </w:r>
      <w:r>
        <w:rPr>
          <w:rFonts w:ascii="Calibri" w:hAnsi="Calibri"/>
          <w:sz w:val="22"/>
        </w:rPr>
        <w:t>Python, Tableau, Databricks, Alation, SQL, Epic EHR Systems, Semantic Layer Architecture, Tableau Metadata API, Data Dictionary Development, CMS Reporting Standards, Mural</w:t>
      </w:r>
    </w:p>
    <w:p>
      <w:pPr>
        <w:spacing w:line="240" w:lineRule="auto"/>
      </w:pPr>
    </w:p>
    <w:p>
      <w:pPr>
        <w:spacing w:after="0" w:line="240" w:lineRule="auto"/>
      </w:pPr>
      <w:r>
        <w:rPr>
          <w:rFonts w:ascii="Calibri" w:hAnsi="Calibri"/>
          <w:b/>
          <w:sz w:val="22"/>
        </w:rPr>
        <w:t>Product Owner, Advanced Analytics for Medicaid and TPA Insights</w:t>
      </w:r>
    </w:p>
    <w:p>
      <w:pPr>
        <w:spacing w:after="0" w:line="240" w:lineRule="auto"/>
      </w:pPr>
      <w:r>
        <w:rPr>
          <w:rFonts w:ascii="Calibri" w:hAnsi="Calibri"/>
          <w:b/>
          <w:sz w:val="22"/>
        </w:rPr>
        <w:t>Optum Insight/United Healthcare, Atlanta, GA Remote (Contract W2 employee through The Judge Group)</w:t>
      </w:r>
    </w:p>
    <w:p>
      <w:pPr>
        <w:spacing w:after="0" w:line="240" w:lineRule="auto"/>
      </w:pPr>
      <w:r>
        <w:rPr>
          <w:rFonts w:ascii="Calibri" w:hAnsi="Calibri"/>
          <w:b/>
          <w:sz w:val="22"/>
        </w:rPr>
        <w:t>Oct 2024 to Dec 2024</w:t>
      </w:r>
    </w:p>
    <w:p>
      <w:pPr>
        <w:pStyle w:val="ListParagraph"/>
        <w:spacing w:after="0" w:line="240" w:lineRule="auto"/>
        <w:numPr>
          <w:ilvl w:val="0"/>
          <w:numId w:val="2"/>
        </w:numPr>
      </w:pPr>
      <w:r>
        <w:rPr>
          <w:rFonts w:ascii="Calibri" w:hAnsi="Calibri"/>
          <w:sz w:val="22"/>
        </w:rPr>
        <w:t>Managed 8-person team (3 data scientists, 3 analysts, pipeline specialist, cross-team PO) to accelerate Medicaid and TPA analytics to parity with established product lines.</w:t>
      </w:r>
    </w:p>
    <w:p>
      <w:pPr>
        <w:pStyle w:val="ListParagraph"/>
        <w:spacing w:after="0" w:line="240" w:lineRule="auto"/>
        <w:numPr>
          <w:ilvl w:val="0"/>
          <w:numId w:val="2"/>
        </w:numPr>
      </w:pPr>
      <w:r>
        <w:rPr>
          <w:rFonts w:ascii="Calibri" w:hAnsi="Calibri"/>
          <w:sz w:val="22"/>
        </w:rPr>
        <w:t>Applied GenAI approach from prior regulatory work to map government standards to provider KPIs across fragmented data sources.</w:t>
      </w:r>
    </w:p>
    <w:p>
      <w:pPr>
        <w:pStyle w:val="ListParagraph"/>
        <w:spacing w:after="0" w:line="240" w:lineRule="auto"/>
        <w:numPr>
          <w:ilvl w:val="0"/>
          <w:numId w:val="2"/>
        </w:numPr>
      </w:pPr>
      <w:r>
        <w:rPr>
          <w:rFonts w:ascii="Calibri" w:hAnsi="Calibri"/>
          <w:sz w:val="22"/>
        </w:rPr>
        <w:t>Created unified Snowflake analytics source for Medicaid and TPA claims across multiple business lines.</w:t>
      </w:r>
    </w:p>
    <w:p>
      <w:pPr>
        <w:pStyle w:val="ListParagraph"/>
        <w:spacing w:after="0" w:line="240" w:lineRule="auto"/>
        <w:numPr>
          <w:ilvl w:val="0"/>
          <w:numId w:val="2"/>
        </w:numPr>
      </w:pPr>
      <w:r>
        <w:rPr>
          <w:rFonts w:ascii="Calibri" w:hAnsi="Calibri"/>
          <w:sz w:val="22"/>
        </w:rPr>
        <w:t>Delivered on accelerated timeline; 4 team members absorbed into permanent staff.</w:t>
      </w:r>
    </w:p>
    <w:p>
      <w:pPr>
        <w:spacing w:after="0" w:line="240" w:lineRule="auto"/>
      </w:pPr>
      <w:r>
        <w:rPr>
          <w:rFonts w:ascii="Calibri" w:hAnsi="Calibri"/>
          <w:b/>
          <w:sz w:val="22"/>
        </w:rPr>
        <w:t xml:space="preserve">Relevant Skills: </w:t>
      </w:r>
      <w:r>
        <w:rPr>
          <w:rFonts w:ascii="Calibri" w:hAnsi="Calibri"/>
          <w:sz w:val="22"/>
        </w:rPr>
        <w:t>GenAI Implementation, AI/ML Team Leadership, Healthcare Analytics, Data Unification Strategy, Medicaid/TPA Domain, Government Standards Mapping, Cross-Functional Collaboration, Accelerated Delivery</w:t>
      </w:r>
    </w:p>
    <w:p>
      <w:pPr>
        <w:spacing w:after="0" w:line="240" w:lineRule="auto"/>
      </w:pPr>
      <w:r>
        <w:rPr>
          <w:rFonts w:ascii="Calibri" w:hAnsi="Calibri"/>
          <w:b/>
          <w:sz w:val="22"/>
        </w:rPr>
        <w:t xml:space="preserve">Technical Skills: </w:t>
      </w:r>
      <w:r>
        <w:rPr>
          <w:rFonts w:ascii="Calibri" w:hAnsi="Calibri"/>
          <w:sz w:val="22"/>
        </w:rPr>
        <w:t>Snowflake, GenAI, Power BI, Python, SQL, Data Modeling, Data Integration, Claims Processing, Estimation Pathways (Pre-D, BenCheck, EPE), Mural</w:t>
      </w:r>
    </w:p>
    <w:p>
      <w:pPr>
        <w:spacing w:line="240" w:lineRule="auto"/>
      </w:pPr>
    </w:p>
    <w:p>
      <w:pPr>
        <w:spacing w:after="0" w:line="240" w:lineRule="auto"/>
      </w:pPr>
      <w:r>
        <w:rPr>
          <w:rFonts w:ascii="Calibri" w:hAnsi="Calibri"/>
          <w:b/>
          <w:sz w:val="22"/>
        </w:rPr>
        <w:t>Senior Business Systems Solutions Analyst, Generative AI</w:t>
      </w:r>
    </w:p>
    <w:p>
      <w:pPr>
        <w:spacing w:after="0" w:line="240" w:lineRule="auto"/>
      </w:pPr>
      <w:r>
        <w:rPr>
          <w:rFonts w:ascii="Calibri" w:hAnsi="Calibri"/>
          <w:b/>
          <w:sz w:val="22"/>
        </w:rPr>
        <w:t>Amgen, Atlanta, GA Remote (Contract W2 employee through Milestone Technologies)</w:t>
      </w:r>
    </w:p>
    <w:p>
      <w:pPr>
        <w:spacing w:after="0" w:line="240" w:lineRule="auto"/>
      </w:pPr>
      <w:r>
        <w:rPr>
          <w:rFonts w:ascii="Calibri" w:hAnsi="Calibri"/>
          <w:b/>
          <w:sz w:val="22"/>
        </w:rPr>
        <w:t>Nov 2023 to Apr 2024</w:t>
      </w:r>
    </w:p>
    <w:p>
      <w:pPr>
        <w:pStyle w:val="ListParagraph"/>
        <w:spacing w:after="0" w:line="240" w:lineRule="auto"/>
        <w:numPr>
          <w:ilvl w:val="0"/>
          <w:numId w:val="2"/>
        </w:numPr>
      </w:pPr>
      <w:r>
        <w:rPr>
          <w:rFonts w:ascii="Calibri" w:hAnsi="Calibri"/>
          <w:sz w:val="22"/>
        </w:rPr>
        <w:t>Led cross-functional team (data scientists, regulatory affairs, CMC clinical writers) to architect first GxP-validated GenAI solution for FDA regulatory submissions under ICH guidelines, reducing CMC drafting time 40%.</w:t>
      </w:r>
    </w:p>
    <w:p>
      <w:pPr>
        <w:pStyle w:val="ListParagraph"/>
        <w:spacing w:after="0" w:line="240" w:lineRule="auto"/>
        <w:numPr>
          <w:ilvl w:val="0"/>
          <w:numId w:val="2"/>
        </w:numPr>
      </w:pPr>
      <w:r>
        <w:rPr>
          <w:rFonts w:ascii="Calibri" w:hAnsi="Calibri"/>
          <w:sz w:val="22"/>
        </w:rPr>
        <w:t>Designed multi-agent GenAI architecture preserving human signatory accountability required for FDA acceptance; initial Quality and CMC scope under ICH M4Q expanded to Safety and Efficacy content governed through ICH M4S and M4E after a production milestone triggered Board approval.</w:t>
      </w:r>
    </w:p>
    <w:p>
      <w:pPr>
        <w:pStyle w:val="ListParagraph"/>
        <w:spacing w:after="0" w:line="240" w:lineRule="auto"/>
        <w:numPr>
          <w:ilvl w:val="0"/>
          <w:numId w:val="2"/>
        </w:numPr>
      </w:pPr>
      <w:r>
        <w:rPr>
          <w:rFonts w:ascii="Calibri" w:hAnsi="Calibri"/>
          <w:sz w:val="22"/>
        </w:rPr>
        <w:t>Architected GenAI-to-SCA feedback loop integrating Veeva Vault regulatory corpus; each submission improved template library under GxP change control, creating compounding IP versus competitors' static consumption model.</w:t>
      </w:r>
    </w:p>
    <w:p>
      <w:pPr>
        <w:pStyle w:val="ListParagraph"/>
        <w:spacing w:after="0" w:line="240" w:lineRule="auto"/>
        <w:numPr>
          <w:ilvl w:val="0"/>
          <w:numId w:val="2"/>
        </w:numPr>
      </w:pPr>
      <w:r>
        <w:rPr>
          <w:rFonts w:ascii="Calibri" w:hAnsi="Calibri"/>
          <w:sz w:val="22"/>
        </w:rPr>
        <w:t>Took over Product Owner role from PO promoted to lead 10 enterprise POs; co-authored 400+ user stories under SAFe 6.0 to production launch.</w:t>
      </w:r>
    </w:p>
    <w:p>
      <w:pPr>
        <w:spacing w:after="0" w:line="240" w:lineRule="auto"/>
      </w:pPr>
      <w:r>
        <w:rPr>
          <w:rFonts w:ascii="Calibri" w:hAnsi="Calibri"/>
          <w:b/>
          <w:sz w:val="22"/>
        </w:rPr>
        <w:t xml:space="preserve">Relevant Skills: </w:t>
      </w:r>
      <w:r>
        <w:rPr>
          <w:rFonts w:ascii="Calibri" w:hAnsi="Calibri"/>
          <w:sz w:val="22"/>
        </w:rPr>
        <w:t>Agentic AI, Generative AI Architecture, GxP-Validated AI Systems, Regulatory Compliance (ICH Q/E/S, FDA, GxP), Responsible AI in Regulated Environments, Human-in-the-Loop AI Design, AI Governance, Clinical Pharmacology, Prompt Engineering, Cross-functional Leadership, Pharmaceutical Supply Chain Management</w:t>
      </w:r>
    </w:p>
    <w:p>
      <w:pPr>
        <w:spacing w:after="0" w:line="240" w:lineRule="auto"/>
      </w:pPr>
      <w:r>
        <w:rPr>
          <w:rFonts w:ascii="Calibri" w:hAnsi="Calibri"/>
          <w:b/>
          <w:sz w:val="22"/>
        </w:rPr>
        <w:t xml:space="preserve">Technical Skills: </w:t>
      </w:r>
      <w:r>
        <w:rPr>
          <w:rFonts w:ascii="Calibri" w:hAnsi="Calibri"/>
          <w:sz w:val="22"/>
        </w:rPr>
        <w:t>Generative AI, LLM, NLP, Multi-Agent Orchestration, Veeva Vault, Veeva RIM Suite, SCA Templates, AWS Redshift, IQVIA, Workiva, Python, SQL, API Integration, Redis, Databricks, SAFe 6.0, CTD Module Structure, Mural</w:t>
      </w:r>
    </w:p>
    <w:p>
      <w:pPr>
        <w:spacing w:line="240" w:lineRule="auto"/>
      </w:pPr>
    </w:p>
    <w:p>
      <w:pPr>
        <w:spacing w:after="0" w:line="240" w:lineRule="auto"/>
      </w:pPr>
      <w:r>
        <w:rPr>
          <w:rFonts w:ascii="Calibri" w:hAnsi="Calibri"/>
          <w:b/>
          <w:sz w:val="22"/>
        </w:rPr>
        <w:t>Senior Technical Business Analyst, Enterprise Data Architecture</w:t>
      </w:r>
    </w:p>
    <w:p>
      <w:pPr>
        <w:spacing w:after="0" w:line="240" w:lineRule="auto"/>
      </w:pPr>
      <w:r>
        <w:rPr>
          <w:rFonts w:ascii="Calibri" w:hAnsi="Calibri"/>
          <w:b/>
          <w:sz w:val="22"/>
        </w:rPr>
        <w:t>Johnson &amp; Johnson MedTech, Atlanta, GA Remote (Corp to Corp Contract through Pyramid Consulting/Cognizant)</w:t>
      </w:r>
    </w:p>
    <w:p>
      <w:pPr>
        <w:spacing w:after="0" w:line="240" w:lineRule="auto"/>
      </w:pPr>
      <w:r>
        <w:rPr>
          <w:rFonts w:ascii="Calibri" w:hAnsi="Calibri"/>
          <w:b/>
          <w:sz w:val="22"/>
        </w:rPr>
        <w:t>Aug 2021 to Jul 2023</w:t>
      </w:r>
    </w:p>
    <w:p>
      <w:pPr>
        <w:pStyle w:val="ListParagraph"/>
        <w:spacing w:after="0" w:line="240" w:lineRule="auto"/>
        <w:numPr>
          <w:ilvl w:val="0"/>
          <w:numId w:val="2"/>
        </w:numPr>
      </w:pPr>
      <w:r>
        <w:rPr>
          <w:rFonts w:ascii="Calibri" w:hAnsi="Calibri"/>
          <w:sz w:val="22"/>
        </w:rPr>
        <w:t>Architected enterprise data transformation for global MedTech (FDA + EU MDR dual compliance), converting legacy MDD structures to EUDAMED standards across multiple J&amp;J divisions with SAP and JDE source feeds.</w:t>
      </w:r>
    </w:p>
    <w:p>
      <w:pPr>
        <w:pStyle w:val="ListParagraph"/>
        <w:spacing w:after="0" w:line="240" w:lineRule="auto"/>
        <w:numPr>
          <w:ilvl w:val="0"/>
          <w:numId w:val="2"/>
        </w:numPr>
      </w:pPr>
      <w:r>
        <w:rPr>
          <w:rFonts w:ascii="Calibri" w:hAnsi="Calibri"/>
          <w:sz w:val="22"/>
        </w:rPr>
        <w:t>Served as lead subject matter expert for Alation and owned the semantic and ontology design connecting SAP, JDE, Veeva, AWS S3, and Databricks data to governed regulatory reporting across J&amp;J MedTech divisions.</w:t>
      </w:r>
    </w:p>
    <w:p>
      <w:pPr>
        <w:pStyle w:val="ListParagraph"/>
        <w:spacing w:after="0" w:line="240" w:lineRule="auto"/>
        <w:numPr>
          <w:ilvl w:val="0"/>
          <w:numId w:val="2"/>
        </w:numPr>
      </w:pPr>
      <w:r>
        <w:rPr>
          <w:rFonts w:ascii="Calibri" w:hAnsi="Calibri"/>
          <w:sz w:val="22"/>
        </w:rPr>
        <w:t>Led mid-project platform migration from Cloudera to AWS (S3, Redshift, Databricks), building division-specific lakehouses while maintaining GxP compliance and uninterrupted regulatory reporting delivery over 2 years.</w:t>
      </w:r>
    </w:p>
    <w:p>
      <w:pPr>
        <w:pStyle w:val="ListParagraph"/>
        <w:spacing w:after="0" w:line="240" w:lineRule="auto"/>
        <w:numPr>
          <w:ilvl w:val="0"/>
          <w:numId w:val="2"/>
        </w:numPr>
      </w:pPr>
      <w:r>
        <w:rPr>
          <w:rFonts w:ascii="Calibri" w:hAnsi="Calibri"/>
          <w:sz w:val="22"/>
        </w:rPr>
        <w:t>Architected integration of SAP and Veeva Vault regulatory data feeds into unified reporting platform, enabling automated EUDAMED submissions and MedTech Surveillance reporting across global business units.</w:t>
      </w:r>
    </w:p>
    <w:p>
      <w:pPr>
        <w:pStyle w:val="ListParagraph"/>
        <w:spacing w:after="0" w:line="240" w:lineRule="auto"/>
        <w:numPr>
          <w:ilvl w:val="0"/>
          <w:numId w:val="2"/>
        </w:numPr>
      </w:pPr>
      <w:r>
        <w:rPr>
          <w:rFonts w:ascii="Calibri" w:hAnsi="Calibri"/>
          <w:sz w:val="22"/>
        </w:rPr>
        <w:t>Delivered $750K annual cost reduction through AWS migration while establishing governed data architecture with full audit trail required for regulatory compliance.</w:t>
      </w:r>
    </w:p>
    <w:p>
      <w:pPr>
        <w:spacing w:after="0" w:line="240" w:lineRule="auto"/>
      </w:pPr>
      <w:r>
        <w:rPr>
          <w:rFonts w:ascii="Calibri" w:hAnsi="Calibri"/>
          <w:b/>
          <w:sz w:val="22"/>
        </w:rPr>
        <w:t xml:space="preserve">Relevant Skills: </w:t>
      </w:r>
      <w:r>
        <w:rPr>
          <w:rFonts w:ascii="Calibri" w:hAnsi="Calibri"/>
          <w:sz w:val="22"/>
        </w:rPr>
        <w:t>Enterprise Data Architecture, Regulatory Data Transformation, Semantic Layer Design, Data Governance, GxP Compliance, Cloud Migration, Medical Device Regulation (FDA/EU MDR), Cross-Divisional Data Integration, Master Data Management, Regulatory Reporting Automation</w:t>
      </w:r>
    </w:p>
    <w:p>
      <w:pPr>
        <w:spacing w:after="0" w:line="240" w:lineRule="auto"/>
      </w:pPr>
      <w:r>
        <w:rPr>
          <w:rFonts w:ascii="Calibri" w:hAnsi="Calibri"/>
          <w:b/>
          <w:sz w:val="22"/>
        </w:rPr>
        <w:t xml:space="preserve">Technical Skills: </w:t>
      </w:r>
      <w:r>
        <w:rPr>
          <w:rFonts w:ascii="Calibri" w:hAnsi="Calibri"/>
          <w:sz w:val="22"/>
        </w:rPr>
        <w:t>AWS (S3, Redshift), Databricks, Cloudera, Alation, SAP (MM, SD, PP, QM, FI/CO), JDE, Veeva Vault, Power BI, Tableau, SQL, EUDAMED/UDI Standards, Mural</w:t>
      </w:r>
    </w:p>
    <w:p>
      <w:pPr>
        <w:spacing w:line="240" w:lineRule="auto"/>
      </w:pPr>
    </w:p>
    <w:p>
      <w:pPr>
        <w:spacing w:after="0" w:line="240" w:lineRule="auto"/>
      </w:pPr>
      <w:r>
        <w:rPr>
          <w:rFonts w:ascii="Calibri" w:hAnsi="Calibri"/>
          <w:b/>
          <w:sz w:val="22"/>
        </w:rPr>
        <w:t>Senior Data Scientist &amp; Project Manager for AI</w:t>
      </w:r>
    </w:p>
    <w:p>
      <w:pPr>
        <w:spacing w:after="0" w:line="240" w:lineRule="auto"/>
      </w:pPr>
      <w:r>
        <w:rPr>
          <w:rFonts w:ascii="Calibri" w:hAnsi="Calibri"/>
          <w:b/>
          <w:sz w:val="22"/>
        </w:rPr>
        <w:t>Invistics acquired by Wolters Kluwer, Atlanta, GA Remote (Corp to Corp Consultant through 4Shadow Analytix)</w:t>
      </w:r>
    </w:p>
    <w:p>
      <w:pPr>
        <w:spacing w:after="0" w:line="240" w:lineRule="auto"/>
      </w:pPr>
      <w:r>
        <w:rPr>
          <w:rFonts w:ascii="Calibri" w:hAnsi="Calibri"/>
          <w:b/>
          <w:sz w:val="22"/>
        </w:rPr>
        <w:t>Mar 2018 to Aug 2021</w:t>
      </w:r>
    </w:p>
    <w:p>
      <w:pPr>
        <w:pStyle w:val="ListParagraph"/>
        <w:spacing w:after="0" w:line="240" w:lineRule="auto"/>
        <w:numPr>
          <w:ilvl w:val="0"/>
          <w:numId w:val="2"/>
        </w:numPr>
      </w:pPr>
      <w:r>
        <w:rPr>
          <w:rFonts w:ascii="Calibri" w:hAnsi="Calibri"/>
          <w:sz w:val="22"/>
        </w:rPr>
        <w:t>Commercialized AI drug diversion detection system from $2.1M NIH grant (named contributor), deploying to 300+ US hospitals while maintaining HIPAA and GDPR compliance.</w:t>
      </w:r>
    </w:p>
    <w:p>
      <w:pPr>
        <w:pStyle w:val="ListParagraph"/>
        <w:spacing w:after="0" w:line="240" w:lineRule="auto"/>
        <w:numPr>
          <w:ilvl w:val="0"/>
          <w:numId w:val="2"/>
        </w:numPr>
      </w:pPr>
      <w:r>
        <w:rPr>
          <w:rFonts w:ascii="Calibri" w:hAnsi="Calibri"/>
          <w:sz w:val="22"/>
        </w:rPr>
        <w:t>Applied Lean Six Sigma discipline to map the cradle-to-grave controlled substance workflow, then engineered a supervised ML system achieving 96% detection accuracy, 6-8 months faster than manual audits.</w:t>
      </w:r>
    </w:p>
    <w:p>
      <w:pPr>
        <w:pStyle w:val="ListParagraph"/>
        <w:spacing w:after="0" w:line="240" w:lineRule="auto"/>
        <w:numPr>
          <w:ilvl w:val="0"/>
          <w:numId w:val="2"/>
        </w:numPr>
      </w:pPr>
      <w:r>
        <w:rPr>
          <w:rFonts w:ascii="Calibri" w:hAnsi="Calibri"/>
          <w:sz w:val="22"/>
        </w:rPr>
        <w:t>Designed risk categorization output (high/medium/sloppy behavior) feeding investigator workflow queues, replacing paper audits; system confirmed existing suspicions and surfaced previously unknown diverters who proved out under investigation.</w:t>
      </w:r>
    </w:p>
    <w:p>
      <w:pPr>
        <w:pStyle w:val="ListParagraph"/>
        <w:spacing w:after="0" w:line="240" w:lineRule="auto"/>
        <w:numPr>
          <w:ilvl w:val="0"/>
          <w:numId w:val="2"/>
        </w:numPr>
      </w:pPr>
      <w:r>
        <w:rPr>
          <w:rFonts w:ascii="Calibri" w:hAnsi="Calibri"/>
          <w:sz w:val="22"/>
        </w:rPr>
        <w:t>Built the governed dataflow beneath the ML, normalizing ERP, EHR, automated dispensing, workforce, IoT, sensor, and investigation data into a canonical model that deployed across facilities without rebuilding the model for each local system.</w:t>
      </w:r>
    </w:p>
    <w:p>
      <w:pPr>
        <w:spacing w:after="0" w:line="240" w:lineRule="auto"/>
      </w:pPr>
      <w:r>
        <w:rPr>
          <w:rFonts w:ascii="Calibri" w:hAnsi="Calibri"/>
          <w:b/>
          <w:sz w:val="22"/>
        </w:rPr>
        <w:t xml:space="preserve">Relevant Skills: </w:t>
      </w:r>
      <w:r>
        <w:rPr>
          <w:rFonts w:ascii="Calibri" w:hAnsi="Calibri"/>
          <w:sz w:val="22"/>
        </w:rPr>
        <w:t>AI Product Commercialization, ML Architecture, Enterprise Data Architecture, Supervised Machine Learning, Healthcare Analytics, Drug Diversion Detection, Regulatory Compliance (HIPAA, GDPR), Cloud Migration, Data Engineering, NIH Grant Delivery</w:t>
      </w:r>
    </w:p>
    <w:p>
      <w:pPr>
        <w:spacing w:after="0" w:line="240" w:lineRule="auto"/>
      </w:pPr>
      <w:r>
        <w:rPr>
          <w:rFonts w:ascii="Calibri" w:hAnsi="Calibri"/>
          <w:b/>
          <w:sz w:val="22"/>
        </w:rPr>
        <w:t xml:space="preserve">Technical Skills: </w:t>
      </w:r>
      <w:r>
        <w:rPr>
          <w:rFonts w:ascii="Calibri" w:hAnsi="Calibri"/>
          <w:sz w:val="22"/>
        </w:rPr>
        <w:t>Supervised Machine Learning, Predictive Analytics, Feature Engineering, EHR Integration (Epic, Cerner, AllScripts, Meditech), ADC Integration (BD Pyxis, Omnicell), Oracle, Oracle Cloud, AWS S3, Python, SQL, ETL, Batch Data Processing</w:t>
      </w:r>
    </w:p>
    <w:p>
      <w:pPr>
        <w:spacing w:line="240" w:lineRule="auto"/>
      </w:pPr>
    </w:p>
    <w:p>
      <w:pPr>
        <w:spacing w:after="0" w:line="240" w:lineRule="auto"/>
      </w:pPr>
      <w:r>
        <w:rPr>
          <w:rFonts w:ascii="Calibri" w:hAnsi="Calibri"/>
          <w:b/>
          <w:sz w:val="22"/>
        </w:rPr>
        <w:t>Senior Data Scientist and Project Manager for AI</w:t>
      </w:r>
    </w:p>
    <w:p>
      <w:pPr>
        <w:spacing w:after="0" w:line="240" w:lineRule="auto"/>
      </w:pPr>
      <w:r>
        <w:rPr>
          <w:rFonts w:ascii="Calibri" w:hAnsi="Calibri"/>
          <w:b/>
          <w:sz w:val="22"/>
        </w:rPr>
        <w:t>Street Grace, Atlanta, GA Remote (Corp to Corp Consultant through 4Shadow Analytix)</w:t>
      </w:r>
    </w:p>
    <w:p>
      <w:pPr>
        <w:spacing w:after="0" w:line="240" w:lineRule="auto"/>
      </w:pPr>
      <w:r>
        <w:rPr>
          <w:rFonts w:ascii="Calibri" w:hAnsi="Calibri"/>
          <w:b/>
          <w:sz w:val="22"/>
        </w:rPr>
        <w:t>Mar 2017 to Jan 2018</w:t>
      </w:r>
    </w:p>
    <w:p>
      <w:pPr>
        <w:pStyle w:val="ListParagraph"/>
        <w:spacing w:after="0" w:line="240" w:lineRule="auto"/>
        <w:numPr>
          <w:ilvl w:val="0"/>
          <w:numId w:val="2"/>
        </w:numPr>
      </w:pPr>
      <w:r>
        <w:rPr>
          <w:rFonts w:ascii="Calibri" w:hAnsi="Calibri"/>
          <w:sz w:val="22"/>
        </w:rPr>
        <w:t>Applied Lean Six Sigma discipline to redesign CSEC case management via Gracie AI chatbot deployment, reducing investigation workforce 40% while improving case identification 30%.</w:t>
      </w:r>
    </w:p>
    <w:p>
      <w:pPr>
        <w:pStyle w:val="ListParagraph"/>
        <w:spacing w:after="0" w:line="240" w:lineRule="auto"/>
        <w:numPr>
          <w:ilvl w:val="0"/>
          <w:numId w:val="2"/>
        </w:numPr>
      </w:pPr>
      <w:r>
        <w:rPr>
          <w:rFonts w:ascii="Calibri" w:hAnsi="Calibri"/>
          <w:sz w:val="22"/>
        </w:rPr>
        <w:t>Launched Transaction Intercept demand-side deterrence program using geospatial targeting and Gracie AI for SMS engagement, automating evidence handoff to law enforcement; program reported 12,000+ disruptions in six months.</w:t>
      </w:r>
    </w:p>
    <w:p>
      <w:pPr>
        <w:pStyle w:val="ListParagraph"/>
        <w:spacing w:after="0" w:line="240" w:lineRule="auto"/>
        <w:numPr>
          <w:ilvl w:val="0"/>
          <w:numId w:val="2"/>
        </w:numPr>
      </w:pPr>
      <w:r>
        <w:rPr>
          <w:rFonts w:ascii="Calibri" w:hAnsi="Calibri"/>
          <w:sz w:val="22"/>
        </w:rPr>
        <w:t>Earned industry recognition for anti-exploitation technology innovation: Cannes Lions Gold, One Show Bronze, Clio Bronze, D&amp;AD shortlist, and Shorty Social Good mentions, with Gracie cited for informing policy change.</w:t>
      </w:r>
    </w:p>
    <w:p>
      <w:pPr>
        <w:pStyle w:val="ListParagraph"/>
        <w:spacing w:after="0" w:line="240" w:lineRule="auto"/>
        <w:numPr>
          <w:ilvl w:val="0"/>
          <w:numId w:val="2"/>
        </w:numPr>
      </w:pPr>
      <w:r>
        <w:rPr>
          <w:rFonts w:ascii="Calibri" w:hAnsi="Calibri"/>
          <w:sz w:val="22"/>
        </w:rPr>
        <w:t>Embedded privacy protection, fairness, and bias mitigation controls in AI-driven case management for sensitive CSEC investigations.</w:t>
      </w:r>
    </w:p>
    <w:p>
      <w:pPr>
        <w:spacing w:after="0" w:line="240" w:lineRule="auto"/>
      </w:pPr>
      <w:r>
        <w:rPr>
          <w:rFonts w:ascii="Calibri" w:hAnsi="Calibri"/>
          <w:b/>
          <w:sz w:val="22"/>
        </w:rPr>
        <w:t xml:space="preserve">Relevant Skills: </w:t>
      </w:r>
      <w:r>
        <w:rPr>
          <w:rFonts w:ascii="Calibri" w:hAnsi="Calibri"/>
          <w:sz w:val="22"/>
        </w:rPr>
        <w:t>Chatbot Architecture, NLP/Conversational Systems, Lean Six Sigma, Process Automation, Product Ownership, Cross-functional Leadership, Stakeholder Management, Ethical Design, MVP to Production Delivery, Regulatory Data Governance, Evidence Workflow Design</w:t>
      </w:r>
    </w:p>
    <w:p>
      <w:pPr>
        <w:spacing w:after="0" w:line="240" w:lineRule="auto"/>
      </w:pPr>
      <w:r>
        <w:rPr>
          <w:rFonts w:ascii="Calibri" w:hAnsi="Calibri"/>
          <w:b/>
          <w:sz w:val="22"/>
        </w:rPr>
        <w:t xml:space="preserve">Technical Skills: </w:t>
      </w:r>
      <w:r>
        <w:rPr>
          <w:rFonts w:ascii="Calibri" w:hAnsi="Calibri"/>
          <w:sz w:val="22"/>
        </w:rPr>
        <w:t>Salesforce Platform (Force.com), Apex, Visualforce, Process Builder, Custom Objects, Google Dialogflow, Twilio, NLP, SMS Integration, API Integration</w:t>
      </w:r>
    </w:p>
    <w:p>
      <w:pPr>
        <w:spacing w:line="240" w:lineRule="auto"/>
      </w:pPr>
    </w:p>
    <w:p>
      <w:pPr>
        <w:spacing w:after="0" w:line="240" w:lineRule="auto"/>
      </w:pPr>
      <w:r>
        <w:rPr>
          <w:rFonts w:ascii="Calibri" w:hAnsi="Calibri"/>
          <w:b/>
          <w:sz w:val="22"/>
        </w:rPr>
        <w:t>Process Improvement Engagement Manager</w:t>
      </w:r>
    </w:p>
    <w:p>
      <w:pPr>
        <w:spacing w:after="0" w:line="240" w:lineRule="auto"/>
      </w:pPr>
      <w:r>
        <w:rPr>
          <w:rFonts w:ascii="Calibri" w:hAnsi="Calibri"/>
          <w:b/>
          <w:sz w:val="22"/>
        </w:rPr>
        <w:t>AVOXI, Atlanta, GA Remote (Corp to Corp Consultant through 4Shadow Analytix)</w:t>
      </w:r>
    </w:p>
    <w:p>
      <w:pPr>
        <w:spacing w:after="0" w:line="240" w:lineRule="auto"/>
      </w:pPr>
      <w:r>
        <w:rPr>
          <w:rFonts w:ascii="Calibri" w:hAnsi="Calibri"/>
          <w:b/>
          <w:sz w:val="22"/>
        </w:rPr>
        <w:t>Mar 2015 to Mar 2017</w:t>
      </w:r>
    </w:p>
    <w:p>
      <w:pPr>
        <w:pStyle w:val="ListParagraph"/>
        <w:spacing w:after="0" w:line="240" w:lineRule="auto"/>
        <w:numPr>
          <w:ilvl w:val="0"/>
          <w:numId w:val="2"/>
        </w:numPr>
      </w:pPr>
      <w:r>
        <w:rPr>
          <w:rFonts w:ascii="Calibri" w:hAnsi="Calibri"/>
          <w:sz w:val="22"/>
        </w:rPr>
        <w:t>Executed Lean Six Sigma DMAIC cycle using process mapping and statistical process control to optimize customer service workflows and master data management in Salesforce, establishing control charts that drove global adoption and reduced issue resolution time 27%.</w:t>
      </w:r>
    </w:p>
    <w:p>
      <w:pPr>
        <w:pStyle w:val="ListParagraph"/>
        <w:spacing w:after="0" w:line="240" w:lineRule="auto"/>
        <w:numPr>
          <w:ilvl w:val="0"/>
          <w:numId w:val="2"/>
        </w:numPr>
      </w:pPr>
      <w:r>
        <w:rPr>
          <w:rFonts w:ascii="Calibri" w:hAnsi="Calibri"/>
          <w:sz w:val="22"/>
        </w:rPr>
        <w:t>Deployed Salesforce Marketing Cloud Journey Builder and Automation Studio, standardizing multi-channel marketing workflows globally and increasing customer retention 6%.</w:t>
      </w:r>
    </w:p>
    <w:p>
      <w:pPr>
        <w:pStyle w:val="ListParagraph"/>
        <w:spacing w:after="0" w:line="240" w:lineRule="auto"/>
        <w:numPr>
          <w:ilvl w:val="0"/>
          <w:numId w:val="2"/>
        </w:numPr>
      </w:pPr>
      <w:r>
        <w:rPr>
          <w:rFonts w:ascii="Calibri" w:hAnsi="Calibri"/>
          <w:sz w:val="22"/>
        </w:rPr>
        <w:t>Established PCI-compliant automation workflows for payment processing across VoIP infrastructure, designing control protocols that maintained compliance as manual processes converted to automated systems.</w:t>
      </w:r>
    </w:p>
    <w:p>
      <w:pPr>
        <w:pStyle w:val="ListParagraph"/>
        <w:spacing w:after="0" w:line="240" w:lineRule="auto"/>
        <w:numPr>
          <w:ilvl w:val="0"/>
          <w:numId w:val="2"/>
        </w:numPr>
      </w:pPr>
      <w:r>
        <w:rPr>
          <w:rFonts w:ascii="Calibri" w:hAnsi="Calibri"/>
          <w:sz w:val="22"/>
        </w:rPr>
        <w:t>Led Agile transformation using JIRA for global distributed teams, embedding new workflows that reduced service delivery time 30%.</w:t>
      </w:r>
    </w:p>
    <w:p>
      <w:pPr>
        <w:spacing w:after="0" w:line="240" w:lineRule="auto"/>
      </w:pPr>
      <w:r>
        <w:rPr>
          <w:rFonts w:ascii="Calibri" w:hAnsi="Calibri"/>
          <w:b/>
          <w:sz w:val="22"/>
        </w:rPr>
        <w:t xml:space="preserve">Relevant Skills: </w:t>
      </w:r>
      <w:r>
        <w:rPr>
          <w:rFonts w:ascii="Calibri" w:hAnsi="Calibri"/>
          <w:sz w:val="22"/>
        </w:rPr>
        <w:t>Lean Six Sigma (DMAIC), Statistical Process Control, Master Data Management, PCI Compliance, Workflow Automation Design, Change Management, Global Team Leadership, Marketing Automation, Agile Methodologies, Customer Lifecycle Management</w:t>
      </w:r>
    </w:p>
    <w:p>
      <w:pPr>
        <w:spacing w:after="0" w:line="240" w:lineRule="auto"/>
      </w:pPr>
      <w:r>
        <w:rPr>
          <w:rFonts w:ascii="Calibri" w:hAnsi="Calibri"/>
          <w:b/>
          <w:sz w:val="22"/>
        </w:rPr>
        <w:t xml:space="preserve">Technical Skills: </w:t>
      </w:r>
      <w:r>
        <w:rPr>
          <w:rFonts w:ascii="Calibri" w:hAnsi="Calibri"/>
          <w:sz w:val="22"/>
        </w:rPr>
        <w:t>Salesforce Service Cloud, Salesforce Marketing Cloud, Journey Builder, Automation Studio, JIRA, Minitab, Microsoft Visio, Apex, SOQL, PCI DSS</w:t>
      </w:r>
    </w:p>
    <w:p>
      <w:pPr>
        <w:spacing w:line="240" w:lineRule="auto"/>
      </w:pPr>
    </w:p>
    <w:p>
      <w:pPr>
        <w:spacing w:after="0" w:line="240" w:lineRule="auto"/>
      </w:pPr>
      <w:r>
        <w:rPr>
          <w:rFonts w:ascii="Calibri" w:hAnsi="Calibri"/>
          <w:b/>
          <w:sz w:val="22"/>
        </w:rPr>
        <w:t>Chief Operating Officer (COO), Business Architect and Data Scientist</w:t>
      </w:r>
    </w:p>
    <w:p>
      <w:pPr>
        <w:spacing w:after="0" w:line="240" w:lineRule="auto"/>
      </w:pPr>
      <w:r>
        <w:rPr>
          <w:rFonts w:ascii="Calibri" w:hAnsi="Calibri"/>
          <w:b/>
          <w:sz w:val="22"/>
        </w:rPr>
        <w:t>Alliance Mobile Financial, Atlanta, GA Remote (W2 employee)</w:t>
      </w:r>
    </w:p>
    <w:p>
      <w:pPr>
        <w:spacing w:after="0" w:line="240" w:lineRule="auto"/>
      </w:pPr>
      <w:r>
        <w:rPr>
          <w:rFonts w:ascii="Calibri" w:hAnsi="Calibri"/>
          <w:b/>
          <w:sz w:val="22"/>
        </w:rPr>
        <w:t>Jan 2013 to Feb 2015</w:t>
      </w:r>
    </w:p>
    <w:p>
      <w:pPr>
        <w:pStyle w:val="ListParagraph"/>
        <w:spacing w:after="0" w:line="240" w:lineRule="auto"/>
        <w:numPr>
          <w:ilvl w:val="0"/>
          <w:numId w:val="2"/>
        </w:numPr>
      </w:pPr>
      <w:r>
        <w:rPr>
          <w:rFonts w:ascii="Calibri" w:hAnsi="Calibri"/>
          <w:sz w:val="22"/>
        </w:rPr>
        <w:t>Developed Cloudera-based PaaS for international mobile remittance, optimizing the FinTech supply chain while exceeding international KYC/AML and PCI regulatory standards.</w:t>
      </w:r>
    </w:p>
    <w:p>
      <w:pPr>
        <w:pStyle w:val="ListParagraph"/>
        <w:spacing w:after="0" w:line="240" w:lineRule="auto"/>
        <w:numPr>
          <w:ilvl w:val="0"/>
          <w:numId w:val="2"/>
        </w:numPr>
      </w:pPr>
      <w:r>
        <w:rPr>
          <w:rFonts w:ascii="Calibri" w:hAnsi="Calibri"/>
          <w:sz w:val="22"/>
        </w:rPr>
        <w:t>Engineered advanced analytics and machine learning systems for KYC verifications, integrating mobile wallets, storefronts, banks, and prepaid debit cards to streamline the end-to-end remittance process.</w:t>
      </w:r>
    </w:p>
    <w:p>
      <w:pPr>
        <w:spacing w:after="0" w:line="240" w:lineRule="auto"/>
      </w:pPr>
      <w:r>
        <w:rPr>
          <w:rFonts w:ascii="Calibri" w:hAnsi="Calibri"/>
          <w:b/>
          <w:sz w:val="22"/>
        </w:rPr>
        <w:t xml:space="preserve">Relevant Skills: </w:t>
      </w:r>
      <w:r>
        <w:rPr>
          <w:rFonts w:ascii="Calibri" w:hAnsi="Calibri"/>
          <w:sz w:val="22"/>
        </w:rPr>
        <w:t>FinTech Solutions, KYC/AML Compliance, PCI Standards, Financial Regulations, Supply Chain Optimization, Business Process Optimization, Data Architecture, Cross-functional Collaboration</w:t>
      </w:r>
    </w:p>
    <w:p>
      <w:pPr>
        <w:spacing w:after="0" w:line="240" w:lineRule="auto"/>
      </w:pPr>
      <w:r>
        <w:rPr>
          <w:rFonts w:ascii="Calibri" w:hAnsi="Calibri"/>
          <w:b/>
          <w:sz w:val="22"/>
        </w:rPr>
        <w:t xml:space="preserve">Technical Skills: </w:t>
      </w:r>
      <w:r>
        <w:rPr>
          <w:rFonts w:ascii="Calibri" w:hAnsi="Calibri"/>
          <w:sz w:val="22"/>
        </w:rPr>
        <w:t>Cloudera, PaaS, Machine Learning, Advanced Analytics, Agile Methodologies, JIRA, API Integration, Data Modeling, ETL, Big Data, NoSQL, Hadoop, Power BI, Advanced Excel</w:t>
      </w:r>
    </w:p>
    <w:p>
      <w:pPr>
        <w:spacing w:line="240" w:lineRule="auto"/>
      </w:pPr>
    </w:p>
    <w:p>
      <w:pPr>
        <w:spacing w:after="0" w:line="240" w:lineRule="auto"/>
      </w:pPr>
      <w:r>
        <w:rPr>
          <w:rFonts w:ascii="Calibri" w:hAnsi="Calibri"/>
          <w:b/>
          <w:sz w:val="22"/>
        </w:rPr>
        <w:t>Founder and Owner, Director of Advanced Analytics</w:t>
      </w:r>
    </w:p>
    <w:p>
      <w:pPr>
        <w:spacing w:after="0" w:line="240" w:lineRule="auto"/>
      </w:pPr>
      <w:r>
        <w:rPr>
          <w:rFonts w:ascii="Calibri" w:hAnsi="Calibri"/>
          <w:b/>
          <w:sz w:val="22"/>
        </w:rPr>
        <w:t>GeoSpatial Metrics, Atlanta, GA</w:t>
      </w:r>
    </w:p>
    <w:p>
      <w:pPr>
        <w:spacing w:after="0" w:line="240" w:lineRule="auto"/>
      </w:pPr>
      <w:r>
        <w:rPr>
          <w:rFonts w:ascii="Calibri" w:hAnsi="Calibri"/>
          <w:b/>
          <w:sz w:val="22"/>
        </w:rPr>
        <w:t>Aug 2005 to Jan 2013</w:t>
      </w:r>
    </w:p>
    <w:p>
      <w:pPr>
        <w:pStyle w:val="ListParagraph"/>
        <w:spacing w:after="0" w:line="240" w:lineRule="auto"/>
        <w:numPr>
          <w:ilvl w:val="0"/>
          <w:numId w:val="2"/>
        </w:numPr>
      </w:pPr>
      <w:r>
        <w:rPr>
          <w:rFonts w:ascii="Calibri" w:hAnsi="Calibri"/>
          <w:sz w:val="22"/>
        </w:rPr>
        <w:t>Built operational geospatial systems that replaced manual audits with cell signal analytics, delivered earlier outbreak signals, and optimized PET logistics, laying the foundation for AI-driven measurement and decision making across media, healthcare, and regulated logistics.</w:t>
      </w:r>
    </w:p>
    <w:p>
      <w:pPr>
        <w:pStyle w:val="ListParagraph"/>
        <w:spacing w:after="0" w:line="240" w:lineRule="auto"/>
        <w:numPr>
          <w:ilvl w:val="0"/>
          <w:numId w:val="2"/>
        </w:numPr>
      </w:pPr>
      <w:r>
        <w:rPr>
          <w:rFonts w:ascii="Calibri" w:hAnsi="Calibri"/>
          <w:sz w:val="22"/>
        </w:rPr>
        <w:t>Replaced manual traffic counts with Lean Six Sigma-driven cell signal triangulation, achieving Traffic Audit Bureau certification and a 5-10% revenue increase for outdoor billboard media clients.</w:t>
      </w:r>
    </w:p>
    <w:p>
      <w:pPr>
        <w:pStyle w:val="ListParagraph"/>
        <w:spacing w:after="0" w:line="240" w:lineRule="auto"/>
        <w:numPr>
          <w:ilvl w:val="0"/>
          <w:numId w:val="2"/>
        </w:numPr>
      </w:pPr>
      <w:r>
        <w:rPr>
          <w:rFonts w:ascii="Calibri" w:hAnsi="Calibri"/>
          <w:sz w:val="22"/>
        </w:rPr>
        <w:t>Reduced transport cost 8% to 15% and raised on-time delivery under 2-hour PET windows using location-based routing for radioactive and biohazard shipments.</w:t>
      </w:r>
    </w:p>
    <w:p>
      <w:pPr>
        <w:pStyle w:val="ListParagraph"/>
        <w:spacing w:after="0" w:line="240" w:lineRule="auto"/>
        <w:numPr>
          <w:ilvl w:val="0"/>
          <w:numId w:val="2"/>
        </w:numPr>
      </w:pPr>
      <w:r>
        <w:rPr>
          <w:rFonts w:ascii="Calibri" w:hAnsi="Calibri"/>
          <w:sz w:val="22"/>
        </w:rPr>
        <w:t>Improved crowd security response time 35% by deploying UAV (unmanned aerial vehicles) for real-time crowd flow control at the US border and at large outdoor concerts for Live Nation including Madonna and U2.</w:t>
      </w:r>
    </w:p>
    <w:p>
      <w:pPr>
        <w:pStyle w:val="ListParagraph"/>
        <w:spacing w:after="0" w:line="240" w:lineRule="auto"/>
        <w:numPr>
          <w:ilvl w:val="0"/>
          <w:numId w:val="2"/>
        </w:numPr>
      </w:pPr>
      <w:r>
        <w:rPr>
          <w:rFonts w:ascii="Calibri" w:hAnsi="Calibri"/>
          <w:sz w:val="22"/>
        </w:rPr>
        <w:t>Delivered 3 to 14 days earlier outbreak signals by linking retail pharmacy sales with public health indicators, improving inventory and staffing decisions.</w:t>
      </w:r>
    </w:p>
    <w:p>
      <w:pPr>
        <w:pStyle w:val="ListParagraph"/>
        <w:spacing w:after="0" w:line="240" w:lineRule="auto"/>
        <w:numPr>
          <w:ilvl w:val="0"/>
          <w:numId w:val="2"/>
        </w:numPr>
      </w:pPr>
      <w:r>
        <w:rPr>
          <w:rFonts w:ascii="Calibri" w:hAnsi="Calibri"/>
          <w:sz w:val="22"/>
        </w:rPr>
        <w:t>Led offshore teams of 3 to 16 and shifted to an Agile hybrid model in 2009, improving release cadence and on-time delivery.</w:t>
      </w:r>
    </w:p>
    <w:p>
      <w:pPr>
        <w:spacing w:after="0" w:line="240" w:lineRule="auto"/>
      </w:pPr>
      <w:r>
        <w:rPr>
          <w:rFonts w:ascii="Calibri" w:hAnsi="Calibri"/>
          <w:b/>
          <w:sz w:val="22"/>
        </w:rPr>
        <w:t xml:space="preserve">Relevant Skills: </w:t>
      </w:r>
      <w:r>
        <w:rPr>
          <w:rFonts w:ascii="Calibri" w:hAnsi="Calibri"/>
          <w:sz w:val="22"/>
        </w:rPr>
        <w:t>Advanced Analytics, Geospatial Technology, Process Automation, Project Management, Supply Chain Optimization, Data Visualization, Team Leadership, Cross-functional Collaboration, Business Intelligence</w:t>
      </w:r>
    </w:p>
    <w:p>
      <w:pPr>
        <w:spacing w:after="0" w:line="240" w:lineRule="auto"/>
      </w:pPr>
      <w:r>
        <w:rPr>
          <w:rFonts w:ascii="Calibri" w:hAnsi="Calibri"/>
          <w:b/>
          <w:sz w:val="22"/>
        </w:rPr>
        <w:t xml:space="preserve">Technical Skills: </w:t>
      </w:r>
      <w:r>
        <w:rPr>
          <w:rFonts w:ascii="Calibri" w:hAnsi="Calibri"/>
          <w:sz w:val="22"/>
        </w:rPr>
        <w:t>UAV Platforms, Data Warehousing, Geospatial Analysis Software, ETL, SQL, OLAP, Data Mining, Agile Methodologies, MapReduce, Hadoop, Microsoft Office Suite (Advanced Excel, PowerPoint, Word)</w:t>
      </w:r>
    </w:p>
    <w:p>
      <w:pPr>
        <w:spacing w:line="240" w:lineRule="auto"/>
      </w:pPr>
    </w:p>
    <w:p>
      <w:pPr>
        <w:spacing w:after="0" w:line="240" w:lineRule="auto"/>
      </w:pPr>
      <w:r>
        <w:rPr>
          <w:rFonts w:ascii="Calibri" w:hAnsi="Calibri"/>
          <w:b/>
          <w:sz w:val="22"/>
        </w:rPr>
        <w:t>Executive Director of Innovation and Business Intelligence</w:t>
      </w:r>
    </w:p>
    <w:p>
      <w:pPr>
        <w:spacing w:after="0" w:line="240" w:lineRule="auto"/>
      </w:pPr>
      <w:r>
        <w:rPr>
          <w:rFonts w:ascii="Calibri" w:hAnsi="Calibri"/>
          <w:b/>
          <w:sz w:val="22"/>
        </w:rPr>
        <w:t>Cardinal Health Inc., Nuclear Pharmacy Services, Atlanta, GA</w:t>
      </w:r>
    </w:p>
    <w:p>
      <w:pPr>
        <w:spacing w:after="0" w:line="240" w:lineRule="auto"/>
      </w:pPr>
      <w:r>
        <w:rPr>
          <w:rFonts w:ascii="Calibri" w:hAnsi="Calibri"/>
          <w:b/>
          <w:sz w:val="22"/>
        </w:rPr>
        <w:t>Jun 2002 to Mar 2005</w:t>
      </w:r>
    </w:p>
    <w:p>
      <w:pPr>
        <w:pStyle w:val="ListParagraph"/>
        <w:spacing w:after="0" w:line="240" w:lineRule="auto"/>
        <w:numPr>
          <w:ilvl w:val="0"/>
          <w:numId w:val="2"/>
        </w:numPr>
      </w:pPr>
      <w:r>
        <w:rPr>
          <w:rFonts w:ascii="Calibri" w:hAnsi="Calibri"/>
          <w:sz w:val="22"/>
        </w:rPr>
        <w:t>Directed international business intelligence and innovation strategy for Nuclear Pharmacy Services, overseeing enterprise analytics, SAP transformation, M&amp;A integration, and distribution networks spanning 80+ radiopharmacies across the U.S. and international partnerships. Held a Georgia pharmacist license dating to 1984 and practiced as both a registered pharmacist and registered nuclear pharmacist. Personally produced or reviewed NRC and state radiation-control reports, FDA safety and quality reports, adverse-drug-event summaries, product-complaint trends, pharmacy-network quality reports, corrective and preventive action reports, and exposure or dosimetry summaries.</w:t>
      </w:r>
    </w:p>
    <w:p>
      <w:pPr>
        <w:pStyle w:val="ListParagraph"/>
        <w:spacing w:after="0" w:line="240" w:lineRule="auto"/>
        <w:numPr>
          <w:ilvl w:val="0"/>
          <w:numId w:val="2"/>
        </w:numPr>
      </w:pPr>
      <w:r>
        <w:rPr>
          <w:rFonts w:ascii="Calibri" w:hAnsi="Calibri"/>
          <w:sz w:val="22"/>
        </w:rPr>
        <w:t>Used advanced data visualization and Business Objects integration to win over $300M in contract violation claims through improved data quality.</w:t>
      </w:r>
    </w:p>
    <w:p>
      <w:pPr>
        <w:pStyle w:val="ListParagraph"/>
        <w:spacing w:after="0" w:line="240" w:lineRule="auto"/>
        <w:numPr>
          <w:ilvl w:val="0"/>
          <w:numId w:val="2"/>
        </w:numPr>
      </w:pPr>
      <w:r>
        <w:rPr>
          <w:rFonts w:ascii="Calibri" w:hAnsi="Calibri"/>
          <w:sz w:val="22"/>
        </w:rPr>
        <w:t>Led an enterprise Master Data Management initiative establishing data governance and stewardship processes, achieving $2M+ in annual cost savings.</w:t>
      </w:r>
    </w:p>
    <w:p>
      <w:pPr>
        <w:pStyle w:val="ListParagraph"/>
        <w:spacing w:after="0" w:line="240" w:lineRule="auto"/>
        <w:numPr>
          <w:ilvl w:val="0"/>
          <w:numId w:val="2"/>
        </w:numPr>
      </w:pPr>
      <w:r>
        <w:rPr>
          <w:rFonts w:ascii="Calibri" w:hAnsi="Calibri"/>
          <w:sz w:val="22"/>
        </w:rPr>
        <w:t>Built a Six Sigma-designed distribution network delivering custom-manufactured FDA products to any facility within 90 miles in 90 minutes, in full regulatory compliance.</w:t>
      </w:r>
    </w:p>
    <w:p>
      <w:pPr>
        <w:pStyle w:val="ListParagraph"/>
        <w:spacing w:after="0" w:line="240" w:lineRule="auto"/>
        <w:numPr>
          <w:ilvl w:val="0"/>
          <w:numId w:val="2"/>
        </w:numPr>
      </w:pPr>
      <w:r>
        <w:rPr>
          <w:rFonts w:ascii="Calibri" w:hAnsi="Calibri"/>
          <w:sz w:val="22"/>
        </w:rPr>
        <w:t>Directed a Lean Six Sigma practice of one Master Black Belt and five Black Belts to integrate Syncor operations into Cardinal Health following the $870M acquisition, aligning processes and staff across 80+ radiopharmacies.</w:t>
      </w:r>
    </w:p>
    <w:p>
      <w:pPr>
        <w:spacing w:after="0" w:line="240" w:lineRule="auto"/>
      </w:pPr>
      <w:r>
        <w:rPr>
          <w:rFonts w:ascii="Calibri" w:hAnsi="Calibri"/>
          <w:b/>
          <w:sz w:val="22"/>
        </w:rPr>
        <w:t xml:space="preserve">Relevant Skills: </w:t>
      </w:r>
      <w:r>
        <w:rPr>
          <w:rFonts w:ascii="Calibri" w:hAnsi="Calibri"/>
          <w:sz w:val="22"/>
        </w:rPr>
        <w:t>Enterprise Business Intelligence, Master Data Management, SAP cGMP Implementation, Global Supply Chain Transformation, M&amp;A Integration Leadership, Advanced Analytics for Healthcare, Financial Recovery &amp; Risk Mitigation, Regulatory Compliance (FDA/NRC), Strategic Planning, Cross-Functional Executive Leadership, Change Management</w:t>
      </w:r>
    </w:p>
    <w:p>
      <w:pPr>
        <w:spacing w:after="0" w:line="240" w:lineRule="auto"/>
      </w:pPr>
      <w:r>
        <w:rPr>
          <w:rFonts w:ascii="Calibri" w:hAnsi="Calibri"/>
          <w:b/>
          <w:sz w:val="22"/>
        </w:rPr>
        <w:t xml:space="preserve">Technical Skills: </w:t>
      </w:r>
      <w:r>
        <w:rPr>
          <w:rFonts w:ascii="Calibri" w:hAnsi="Calibri"/>
          <w:sz w:val="22"/>
        </w:rPr>
        <w:t>SAP R/3 (MM, PP, SD, FI/CO, cGMP), Business Objects, Data Warehousing &amp; OLAP, SQL/ETL Development, Data Modeling &amp; Integration, Relational Databases, Lean Six Sigma Process Design, Enterprise Reporting &amp; Visualization, Client-Server &amp; Distributed Systems, Microsoft Project, Pharmaceutical ERP Systems</w:t>
      </w:r>
    </w:p>
    <w:p>
      <w:pPr>
        <w:spacing w:line="240" w:lineRule="auto"/>
      </w:pPr>
    </w:p>
    <w:p>
      <w:pPr>
        <w:spacing w:after="0" w:line="240" w:lineRule="auto"/>
      </w:pPr>
      <w:r>
        <w:rPr>
          <w:rFonts w:ascii="Calibri" w:hAnsi="Calibri"/>
          <w:b/>
          <w:sz w:val="22"/>
        </w:rPr>
        <w:t>Director of Innovation</w:t>
      </w:r>
    </w:p>
    <w:p>
      <w:pPr>
        <w:spacing w:after="0" w:line="240" w:lineRule="auto"/>
      </w:pPr>
      <w:r>
        <w:rPr>
          <w:rFonts w:ascii="Calibri" w:hAnsi="Calibri"/>
          <w:b/>
          <w:sz w:val="22"/>
        </w:rPr>
        <w:t>Syncor International Corp purchased by Cardinal Health Inc., Norcross, GA</w:t>
      </w:r>
    </w:p>
    <w:p>
      <w:pPr>
        <w:spacing w:after="0" w:line="240" w:lineRule="auto"/>
      </w:pPr>
      <w:r>
        <w:rPr>
          <w:rFonts w:ascii="Calibri" w:hAnsi="Calibri"/>
          <w:b/>
          <w:sz w:val="22"/>
        </w:rPr>
        <w:t>May 1987 to Jun 2002</w:t>
      </w:r>
    </w:p>
    <w:p>
      <w:pPr>
        <w:pStyle w:val="ListParagraph"/>
        <w:spacing w:after="0" w:line="240" w:lineRule="auto"/>
        <w:numPr>
          <w:ilvl w:val="0"/>
          <w:numId w:val="2"/>
        </w:numPr>
      </w:pPr>
      <w:r>
        <w:rPr>
          <w:rFonts w:ascii="Calibri" w:hAnsi="Calibri"/>
          <w:sz w:val="22"/>
        </w:rPr>
        <w:t>Managed and expanded regional nuclear pharmacy operations into a national and international footprint, leading PET distribution, service-line diversification, robotics development, and international joint ventures across Russia, Israel, and Europe.</w:t>
      </w:r>
    </w:p>
    <w:p>
      <w:pPr>
        <w:pStyle w:val="ListParagraph"/>
        <w:spacing w:after="0" w:line="240" w:lineRule="auto"/>
        <w:numPr>
          <w:ilvl w:val="0"/>
          <w:numId w:val="2"/>
        </w:numPr>
      </w:pPr>
      <w:r>
        <w:rPr>
          <w:rFonts w:ascii="Calibri" w:hAnsi="Calibri"/>
          <w:sz w:val="22"/>
        </w:rPr>
        <w:t>Pioneered the first national hub-and-spoke PET isotope distribution network, expanding access from research centers to mainstream imaging and enabling 3M+ scans annually.</w:t>
      </w:r>
    </w:p>
    <w:p>
      <w:pPr>
        <w:pStyle w:val="ListParagraph"/>
        <w:spacing w:after="0" w:line="240" w:lineRule="auto"/>
        <w:numPr>
          <w:ilvl w:val="0"/>
          <w:numId w:val="2"/>
        </w:numPr>
      </w:pPr>
      <w:r>
        <w:rPr>
          <w:rFonts w:ascii="Calibri" w:hAnsi="Calibri"/>
          <w:sz w:val="22"/>
        </w:rPr>
        <w:t>Built Orlando into Syncor's Center of Innovation, using DMADV to pilot home care, IV admixtures, and unit-dose chemotherapy before scaling network-wide for $6M+ in new recurring revenue.</w:t>
      </w:r>
    </w:p>
    <w:p>
      <w:pPr>
        <w:pStyle w:val="ListParagraph"/>
        <w:spacing w:after="0" w:line="240" w:lineRule="auto"/>
        <w:numPr>
          <w:ilvl w:val="0"/>
          <w:numId w:val="2"/>
        </w:numPr>
      </w:pPr>
      <w:r>
        <w:rPr>
          <w:rFonts w:ascii="Calibri" w:hAnsi="Calibri"/>
          <w:sz w:val="22"/>
        </w:rPr>
        <w:t>Pioneered a strategic partnership with AirNet, a failing Learjet carrier, helping them secure hazmat licensure to transport radiopharmaceuticals and biohazardous materials, expanding beyond FedEx dependency and doubling regional PET distribution capacity for time-sensitive isotopes.</w:t>
      </w:r>
    </w:p>
    <w:p>
      <w:pPr>
        <w:pStyle w:val="ListParagraph"/>
        <w:spacing w:after="0" w:line="240" w:lineRule="auto"/>
        <w:numPr>
          <w:ilvl w:val="0"/>
          <w:numId w:val="2"/>
        </w:numPr>
      </w:pPr>
      <w:r>
        <w:rPr>
          <w:rFonts w:ascii="Calibri" w:hAnsi="Calibri"/>
          <w:sz w:val="22"/>
        </w:rPr>
        <w:t>Led U.S. liaison efforts for joint ventures in Russia and Israel, partnering with Rotem on radiation detection devices and deploying nuclear monitoring systems at Baltimore Harbor.</w:t>
      </w:r>
    </w:p>
    <w:p>
      <w:pPr>
        <w:pStyle w:val="ListParagraph"/>
        <w:spacing w:after="0" w:line="240" w:lineRule="auto"/>
        <w:numPr>
          <w:ilvl w:val="0"/>
          <w:numId w:val="2"/>
        </w:numPr>
      </w:pPr>
      <w:r>
        <w:rPr>
          <w:rFonts w:ascii="Calibri" w:hAnsi="Calibri"/>
          <w:sz w:val="22"/>
        </w:rPr>
        <w:t>Directed development of the first fully automated radiopharmaceutical production line prototype with European robotics partner Menziken, overcoming regulatory and technical barriers; elements remain in PET use today.</w:t>
      </w:r>
    </w:p>
    <w:p>
      <w:pPr>
        <w:pStyle w:val="ListParagraph"/>
        <w:spacing w:after="0" w:line="240" w:lineRule="auto"/>
        <w:numPr>
          <w:ilvl w:val="0"/>
          <w:numId w:val="2"/>
        </w:numPr>
      </w:pPr>
      <w:r>
        <w:rPr>
          <w:rFonts w:ascii="Calibri" w:hAnsi="Calibri"/>
          <w:sz w:val="22"/>
        </w:rPr>
        <w:t>As Regional Manager of Pacific Northwest, expanded sales footprint across seven states, delivering $23M in revenue at 15% margins by combining technical credibility with client-facing business development.</w:t>
      </w:r>
    </w:p>
    <w:p>
      <w:pPr>
        <w:spacing w:after="0" w:line="240" w:lineRule="auto"/>
      </w:pPr>
      <w:r>
        <w:rPr>
          <w:rFonts w:ascii="Calibri" w:hAnsi="Calibri"/>
          <w:b/>
          <w:sz w:val="22"/>
        </w:rPr>
        <w:t xml:space="preserve">Relevant Skills: </w:t>
      </w:r>
      <w:r>
        <w:rPr>
          <w:rFonts w:ascii="Calibri" w:hAnsi="Calibri"/>
          <w:sz w:val="22"/>
        </w:rPr>
        <w:t>PET Distribution Networks, Service Line Expansion (Home Care, IV, Chemo), Six Sigma DMADV Optimization, Innovation Leadership, International Joint Ventures, Revenue Growth &amp; Profitability, Strategic Partnerships, Regulatory Compliance, Regional &amp; National Operations</w:t>
      </w:r>
    </w:p>
    <w:p>
      <w:pPr>
        <w:spacing w:after="0" w:line="240" w:lineRule="auto"/>
      </w:pPr>
      <w:r>
        <w:rPr>
          <w:rFonts w:ascii="Calibri" w:hAnsi="Calibri"/>
          <w:b/>
          <w:sz w:val="22"/>
        </w:rPr>
        <w:t xml:space="preserve">Technical Skills: </w:t>
      </w:r>
      <w:r>
        <w:rPr>
          <w:rFonts w:ascii="Calibri" w:hAnsi="Calibri"/>
          <w:sz w:val="22"/>
        </w:rPr>
        <w:t>Radiopharmaceutical Logistics, Hazardous Materials Air Transport (FAA/DOT/NRC), Robotics Automation (Radiopharmaceutical Production), Nuclear Material Monitoring, Radiation Detection Technology, cGMP Standards, Multi-Agency Compliance (NRC/FDA/DOT/EPA/OSHA)</w:t>
      </w:r>
    </w:p>
    <w:p>
      <w:pPr>
        <w:spacing w:line="240" w:lineRule="auto"/>
      </w:pPr>
    </w:p>
    <w:p>
      <w:pPr>
        <w:spacing w:after="0" w:line="240" w:lineRule="auto"/>
      </w:pPr>
      <w:r>
        <w:rPr>
          <w:rFonts w:ascii="Calibri" w:hAnsi="Calibri"/>
          <w:b/>
          <w:sz w:val="22"/>
        </w:rPr>
        <w:t>Pharmacy Manager</w:t>
      </w:r>
    </w:p>
    <w:p>
      <w:pPr>
        <w:spacing w:after="0" w:line="240" w:lineRule="auto"/>
      </w:pPr>
      <w:r>
        <w:rPr>
          <w:rFonts w:ascii="Calibri" w:hAnsi="Calibri"/>
          <w:b/>
          <w:sz w:val="22"/>
        </w:rPr>
        <w:t>Nuclear Pharmacy Inc. (NPI) merged with Syncor International Corporation, El Paso, TX to Jacksonville, FL to Orlando, FL</w:t>
      </w:r>
    </w:p>
    <w:p>
      <w:pPr>
        <w:spacing w:after="0" w:line="240" w:lineRule="auto"/>
      </w:pPr>
      <w:r>
        <w:rPr>
          <w:rFonts w:ascii="Calibri" w:hAnsi="Calibri"/>
          <w:b/>
          <w:sz w:val="22"/>
        </w:rPr>
        <w:t>May 1984 to May 1987</w:t>
      </w:r>
    </w:p>
    <w:p>
      <w:pPr>
        <w:pStyle w:val="ListParagraph"/>
        <w:spacing w:after="0" w:line="240" w:lineRule="auto"/>
        <w:numPr>
          <w:ilvl w:val="0"/>
          <w:numId w:val="2"/>
        </w:numPr>
      </w:pPr>
      <w:r>
        <w:rPr>
          <w:rFonts w:ascii="Calibri" w:hAnsi="Calibri"/>
          <w:sz w:val="22"/>
        </w:rPr>
        <w:t>Managed nuclear pharmacy operations focused on pharmacy services and clinical expansion, driving licensure development, practice standards, and crisis-response audits under multi-agency regulatory oversight.</w:t>
      </w:r>
    </w:p>
    <w:p>
      <w:pPr>
        <w:pStyle w:val="ListParagraph"/>
        <w:spacing w:after="0" w:line="240" w:lineRule="auto"/>
        <w:numPr>
          <w:ilvl w:val="0"/>
          <w:numId w:val="2"/>
        </w:numPr>
      </w:pPr>
      <w:r>
        <w:rPr>
          <w:rFonts w:ascii="Calibri" w:hAnsi="Calibri"/>
          <w:sz w:val="22"/>
        </w:rPr>
        <w:t>Co-authored revision of Florida nuclear pharmacist licensure regulations, which became the national model and established licensure as a requirement to practice in the field.</w:t>
      </w:r>
    </w:p>
    <w:p>
      <w:pPr>
        <w:pStyle w:val="ListParagraph"/>
        <w:spacing w:after="0" w:line="240" w:lineRule="auto"/>
        <w:numPr>
          <w:ilvl w:val="0"/>
          <w:numId w:val="2"/>
        </w:numPr>
      </w:pPr>
      <w:r>
        <w:rPr>
          <w:rFonts w:ascii="Calibri" w:hAnsi="Calibri"/>
          <w:sz w:val="22"/>
        </w:rPr>
        <w:t>Directed operations in one of the most regulated distribution chains in healthcare, maintaining compliance with Boards of Pharmacy, NRC, FDA, DOT, EPA, and OSHA while managing radioactive and biohazardous materials across preparation, shipment, patient dosing, and waste disposal.</w:t>
      </w:r>
    </w:p>
    <w:p>
      <w:pPr>
        <w:pStyle w:val="ListParagraph"/>
        <w:spacing w:after="0" w:line="240" w:lineRule="auto"/>
        <w:numPr>
          <w:ilvl w:val="0"/>
          <w:numId w:val="2"/>
        </w:numPr>
      </w:pPr>
      <w:r>
        <w:rPr>
          <w:rFonts w:ascii="Calibri" w:hAnsi="Calibri"/>
          <w:sz w:val="22"/>
        </w:rPr>
        <w:t>Combined sales and operations leadership to win and retain clients, sustaining 21% profitability and market share leadership in a premium-priced segment by consistently delivering the right product, at the right quality, to the right patient at the right time.</w:t>
      </w:r>
    </w:p>
    <w:p>
      <w:pPr>
        <w:pStyle w:val="ListParagraph"/>
        <w:spacing w:after="0" w:line="240" w:lineRule="auto"/>
        <w:numPr>
          <w:ilvl w:val="0"/>
          <w:numId w:val="2"/>
        </w:numPr>
      </w:pPr>
      <w:r>
        <w:rPr>
          <w:rFonts w:ascii="Calibri" w:hAnsi="Calibri"/>
          <w:sz w:val="22"/>
        </w:rPr>
        <w:t>Designated as NRC dual verification auditor after the 1984 Mo-99/Tc-99 generator breakthrough incident in Chicago, enforcing remediation compliance protocols after contaminated doses were administered.</w:t>
      </w:r>
    </w:p>
    <w:p>
      <w:pPr>
        <w:pStyle w:val="ListParagraph"/>
        <w:spacing w:after="0" w:line="240" w:lineRule="auto"/>
        <w:numPr>
          <w:ilvl w:val="0"/>
          <w:numId w:val="2"/>
        </w:numPr>
      </w:pPr>
      <w:r>
        <w:rPr>
          <w:rFonts w:ascii="Calibri" w:hAnsi="Calibri"/>
          <w:sz w:val="22"/>
        </w:rPr>
        <w:t>Conducted radiation checks with NRC response team during the Co-60 contamination crisis in Ciudad Juarez, supporting containment and cleanup of affected scrap metal.</w:t>
      </w:r>
    </w:p>
    <w:p>
      <w:pPr>
        <w:spacing w:after="0" w:line="240" w:lineRule="auto"/>
      </w:pPr>
      <w:r>
        <w:rPr>
          <w:rFonts w:ascii="Calibri" w:hAnsi="Calibri"/>
          <w:b/>
          <w:sz w:val="22"/>
        </w:rPr>
        <w:t xml:space="preserve">Relevant Skills: </w:t>
      </w:r>
      <w:r>
        <w:rPr>
          <w:rFonts w:ascii="Calibri" w:hAnsi="Calibri"/>
          <w:sz w:val="22"/>
        </w:rPr>
        <w:t>Nuclear Pharmacy Operations, Pharmacist Licensure Development, Regulatory Compliance &amp; Audit Leadership, Practice Standards Development, Client Retention &amp; Service Quality, Profitability Management, Crisis Audit &amp; Remediation</w:t>
      </w:r>
    </w:p>
    <w:p>
      <w:pPr>
        <w:spacing w:after="0" w:line="240" w:lineRule="auto"/>
      </w:pPr>
      <w:r>
        <w:rPr>
          <w:rFonts w:ascii="Calibri" w:hAnsi="Calibri"/>
          <w:b/>
          <w:sz w:val="22"/>
        </w:rPr>
        <w:t xml:space="preserve">Technical Skills: </w:t>
      </w:r>
      <w:r>
        <w:rPr>
          <w:rFonts w:ascii="Calibri" w:hAnsi="Calibri"/>
          <w:sz w:val="22"/>
        </w:rPr>
        <w:t>Radiopharmaceutical Compounding &amp; Preparation, Radioactive Material Handling, Multi-Agency Compliance (NRC/FDA/DOT/EPA/OSHA), Generator Quality Control &amp; Verification, cGMP Workflow Standards, Distribution Chain Oversight</w:t>
      </w:r>
    </w:p>
    <w:p>
      <w:pPr>
        <w:spacing w:line="240" w:lineRule="auto"/>
      </w:pPr>
    </w:p>
    <w:p>
      <w:pPr>
        <w:spacing w:after="0" w:line="240" w:lineRule="auto"/>
      </w:pPr>
      <w:r>
        <w:rPr>
          <w:rFonts w:ascii="Calibri" w:hAnsi="Calibri"/>
          <w:b/>
          <w:sz w:val="22"/>
        </w:rPr>
        <w:t>Intern</w:t>
      </w:r>
    </w:p>
    <w:p>
      <w:pPr>
        <w:spacing w:after="0" w:line="240" w:lineRule="auto"/>
      </w:pPr>
      <w:r>
        <w:rPr>
          <w:rFonts w:ascii="Calibri" w:hAnsi="Calibri"/>
          <w:b/>
          <w:sz w:val="22"/>
        </w:rPr>
        <w:t>Summa Medical Corp, Albuquerque, NM</w:t>
      </w:r>
    </w:p>
    <w:p>
      <w:pPr>
        <w:spacing w:after="0" w:line="240" w:lineRule="auto"/>
      </w:pPr>
      <w:r>
        <w:rPr>
          <w:rFonts w:ascii="Calibri" w:hAnsi="Calibri"/>
          <w:b/>
          <w:sz w:val="22"/>
        </w:rPr>
        <w:t>May 1983 to May 1984</w:t>
      </w:r>
    </w:p>
    <w:p>
      <w:pPr>
        <w:pStyle w:val="ListParagraph"/>
        <w:spacing w:after="0" w:line="240" w:lineRule="auto"/>
        <w:numPr>
          <w:ilvl w:val="0"/>
          <w:numId w:val="2"/>
        </w:numPr>
      </w:pPr>
      <w:r>
        <w:rPr>
          <w:rFonts w:ascii="Calibri" w:hAnsi="Calibri"/>
          <w:sz w:val="22"/>
        </w:rPr>
        <w:t>Performed device QA and performance testing for NIH SBIR medical device development under FDA GLP (21 CFR 58) and device cGMP (21 CFR 820) standards, documenting acceptance criteria, deviations, and corrective actions for IND/IDE submission data packages.</w:t>
      </w:r>
    </w:p>
    <w:p>
      <w:pPr>
        <w:pStyle w:val="ListParagraph"/>
        <w:spacing w:after="0" w:line="240" w:lineRule="auto"/>
        <w:numPr>
          <w:ilvl w:val="0"/>
          <w:numId w:val="2"/>
        </w:numPr>
      </w:pPr>
      <w:r>
        <w:rPr>
          <w:rFonts w:ascii="Calibri" w:hAnsi="Calibri"/>
          <w:sz w:val="22"/>
        </w:rPr>
        <w:t>Designed and executed in-vitro assays using monoclonal and hybridoma cell systems with radioisotope tracer uptake (gamma counting, statistical analysis), completing 300+ documented test iterations demonstrating repeatability and reproducibility; authored SOPs for sterile culture, contamination control, calibration, and change control.</w:t>
      </w:r>
    </w:p>
    <w:p>
      <w:pPr>
        <w:pStyle w:val="ListParagraph"/>
        <w:spacing w:after="0" w:line="240" w:lineRule="auto"/>
        <w:numPr>
          <w:ilvl w:val="0"/>
          <w:numId w:val="2"/>
        </w:numPr>
      </w:pPr>
      <w:r>
        <w:rPr>
          <w:rFonts w:ascii="Calibri" w:hAnsi="Calibri"/>
          <w:sz w:val="22"/>
        </w:rPr>
        <w:t>Implemented radiation safety practices under NRC, OSHA, and DOT requirements; prepared statistical analyses and milestone reports for SBIR deliverables supporting investigational device submissions.</w:t>
      </w:r>
    </w:p>
    <w:p>
      <w:pPr>
        <w:spacing w:after="0" w:line="240" w:lineRule="auto"/>
      </w:pPr>
      <w:r>
        <w:rPr>
          <w:rFonts w:ascii="Calibri" w:hAnsi="Calibri"/>
          <w:b/>
          <w:sz w:val="22"/>
        </w:rPr>
        <w:t xml:space="preserve">Relevant Skills: </w:t>
      </w:r>
      <w:r>
        <w:rPr>
          <w:rFonts w:ascii="Calibri" w:hAnsi="Calibri"/>
          <w:sz w:val="22"/>
        </w:rPr>
        <w:t>Device validation and QA, Medical device development, SOP and protocol development, Statistical analysis, Regulatory documentation, Radiation safety compliance</w:t>
      </w:r>
    </w:p>
    <w:p>
      <w:pPr>
        <w:spacing w:after="0" w:line="240" w:lineRule="auto"/>
      </w:pPr>
      <w:r>
        <w:rPr>
          <w:rFonts w:ascii="Calibri" w:hAnsi="Calibri"/>
          <w:b/>
          <w:sz w:val="22"/>
        </w:rPr>
        <w:t xml:space="preserve">Technical Skills: </w:t>
      </w:r>
      <w:r>
        <w:rPr>
          <w:rFonts w:ascii="Calibri" w:hAnsi="Calibri"/>
          <w:sz w:val="22"/>
        </w:rPr>
        <w:t>FDA device cGMP (21 CFR 820), GLP (21 CFR 58), IND/IDE submission data, NRC radiation protection (10 CFR 20), Radioisotope tracer assays, Sterile technique and contamination control</w:t>
      </w:r>
    </w:p>
    <w:p>
      <w:pPr>
        <w:spacing w:line="240" w:lineRule="auto"/>
      </w:pPr>
    </w:p>
    <w:p>
      <w:pPr>
        <w:spacing w:after="0" w:line="240" w:lineRule="auto"/>
      </w:pPr>
      <w:r>
        <w:rPr>
          <w:rFonts w:ascii="Calibri" w:hAnsi="Calibri"/>
          <w:b/>
          <w:sz w:val="22"/>
        </w:rPr>
        <w:t>Research Assistant, DARPA Strategic Defense Initiative</w:t>
      </w:r>
    </w:p>
    <w:p>
      <w:pPr>
        <w:spacing w:after="0" w:line="240" w:lineRule="auto"/>
      </w:pPr>
      <w:r>
        <w:rPr>
          <w:rFonts w:ascii="Calibri" w:hAnsi="Calibri"/>
          <w:b/>
          <w:sz w:val="22"/>
        </w:rPr>
        <w:t>USAF Weapons Laboratory, Kirtland AFB NM</w:t>
      </w:r>
    </w:p>
    <w:p>
      <w:pPr>
        <w:spacing w:after="0" w:line="240" w:lineRule="auto"/>
      </w:pPr>
      <w:r>
        <w:rPr>
          <w:rFonts w:ascii="Calibri" w:hAnsi="Calibri"/>
          <w:b/>
          <w:sz w:val="22"/>
        </w:rPr>
        <w:t>Sep 1979 to May 1983</w:t>
      </w:r>
    </w:p>
    <w:p>
      <w:pPr>
        <w:pStyle w:val="ListParagraph"/>
        <w:spacing w:after="0" w:line="240" w:lineRule="auto"/>
        <w:numPr>
          <w:ilvl w:val="0"/>
          <w:numId w:val="2"/>
        </w:numPr>
      </w:pPr>
      <w:r>
        <w:rPr>
          <w:rFonts w:ascii="Calibri" w:hAnsi="Calibri"/>
          <w:sz w:val="22"/>
        </w:rPr>
        <w:t>Supported high-energy laser experiments for Strategic Defense Initiative, modeling gas-mixing dynamics to optimize output and reduce failed test firings using FORTRAN and Cray supercomputing for computational physics simulation.</w:t>
      </w:r>
    </w:p>
    <w:p>
      <w:pPr>
        <w:pStyle w:val="ListParagraph"/>
        <w:spacing w:after="0" w:line="240" w:lineRule="auto"/>
        <w:numPr>
          <w:ilvl w:val="0"/>
          <w:numId w:val="2"/>
        </w:numPr>
      </w:pPr>
      <w:r>
        <w:rPr>
          <w:rFonts w:ascii="Calibri" w:hAnsi="Calibri"/>
          <w:sz w:val="22"/>
        </w:rPr>
        <w:t>Applied advanced pattern recognition to experimental data, an early precursor to modern AI methods for anomaly detection and optimization.</w:t>
      </w:r>
    </w:p>
    <w:p>
      <w:pPr>
        <w:pStyle w:val="ListParagraph"/>
        <w:spacing w:after="0" w:line="240" w:lineRule="auto"/>
        <w:numPr>
          <w:ilvl w:val="0"/>
          <w:numId w:val="2"/>
        </w:numPr>
      </w:pPr>
      <w:r>
        <w:rPr>
          <w:rFonts w:ascii="Calibri" w:hAnsi="Calibri"/>
          <w:sz w:val="22"/>
        </w:rPr>
        <w:t>Produced visualization outputs with raster graphics and CAD tools that constituted core research findings included in published articles in Astronautics &amp; Aeronautics (1981) and Computer Graphics World (1983).</w:t>
      </w:r>
    </w:p>
    <w:p>
      <w:pPr>
        <w:pStyle w:val="ListParagraph"/>
        <w:spacing w:after="0" w:line="240" w:lineRule="auto"/>
        <w:numPr>
          <w:ilvl w:val="0"/>
          <w:numId w:val="2"/>
        </w:numPr>
      </w:pPr>
      <w:r>
        <w:rPr>
          <w:rFonts w:ascii="Calibri" w:hAnsi="Calibri"/>
          <w:sz w:val="22"/>
        </w:rPr>
        <w:t>Collaborated with physicists to pioneer application of pattern recognition findings to experimental decisions using raster graphics and CAD visualizations.</w:t>
      </w:r>
    </w:p>
    <w:p>
      <w:pPr>
        <w:spacing w:after="0" w:line="240" w:lineRule="auto"/>
      </w:pPr>
      <w:r>
        <w:rPr>
          <w:rFonts w:ascii="Calibri" w:hAnsi="Calibri"/>
          <w:b/>
          <w:sz w:val="22"/>
        </w:rPr>
        <w:t xml:space="preserve">Relevant Skills: </w:t>
      </w:r>
      <w:r>
        <w:rPr>
          <w:rFonts w:ascii="Calibri" w:hAnsi="Calibri"/>
          <w:sz w:val="22"/>
        </w:rPr>
        <w:t>Data Analysis, Pattern Recognition, Simulation Modeling, Scientific Visualization, Collaboration</w:t>
      </w:r>
    </w:p>
    <w:p>
      <w:pPr>
        <w:spacing w:after="0" w:line="240" w:lineRule="auto"/>
      </w:pPr>
      <w:r>
        <w:rPr>
          <w:rFonts w:ascii="Calibri" w:hAnsi="Calibri"/>
          <w:b/>
          <w:sz w:val="22"/>
        </w:rPr>
        <w:t xml:space="preserve">Technical Skills: </w:t>
      </w:r>
      <w:r>
        <w:rPr>
          <w:rFonts w:ascii="Calibri" w:hAnsi="Calibri"/>
          <w:sz w:val="22"/>
        </w:rPr>
        <w:t>FORTRAN, Cray Supercomputing, Computational Physics Simulation, Monte Carlo Simulation, Statistical Analysis, CAD, Raster Graphics, Defense Technologies</w:t>
      </w:r>
    </w:p>
    <w:p>
      <w:pPr>
        <w:spacing w:line="240" w:lineRule="auto"/>
      </w:pPr>
    </w:p>
    <w:p>
      <w:pPr>
        <w:spacing w:after="0" w:line="240" w:lineRule="auto"/>
      </w:pPr>
      <w:r>
        <w:rPr>
          <w:rFonts w:ascii="Calibri" w:hAnsi="Calibri"/>
          <w:b/>
          <w:sz w:val="22"/>
        </w:rPr>
        <w:t>Chief Data Scientist (AI/ML Platform Delivery, Early Cancer Detection)</w:t>
      </w:r>
    </w:p>
    <w:p>
      <w:pPr>
        <w:spacing w:after="0" w:line="240" w:lineRule="auto"/>
      </w:pPr>
      <w:r>
        <w:rPr>
          <w:rFonts w:ascii="Calibri" w:hAnsi="Calibri"/>
          <w:b/>
          <w:sz w:val="22"/>
        </w:rPr>
        <w:t>Optinosis, Atlanta, GA Remote (Pro Bono Engagement)</w:t>
      </w:r>
    </w:p>
    <w:p>
      <w:pPr>
        <w:spacing w:after="0" w:line="240" w:lineRule="auto"/>
      </w:pPr>
      <w:r>
        <w:rPr>
          <w:rFonts w:ascii="Calibri" w:hAnsi="Calibri"/>
          <w:b/>
          <w:sz w:val="22"/>
        </w:rPr>
        <w:t>Aug 2024 to Present</w:t>
      </w:r>
    </w:p>
    <w:p>
      <w:pPr>
        <w:pStyle w:val="ListParagraph"/>
        <w:spacing w:after="0" w:line="240" w:lineRule="auto"/>
        <w:numPr>
          <w:ilvl w:val="0"/>
          <w:numId w:val="2"/>
        </w:numPr>
      </w:pPr>
      <w:r>
        <w:rPr>
          <w:rFonts w:ascii="Calibri" w:hAnsi="Calibri"/>
          <w:sz w:val="22"/>
        </w:rPr>
        <w:t>Reunited original Invistics core leadership (CEO, Chief Data Scientist, COO) to build AI-enabled early cancer detection platform from the ground up. Production ML workflows are now running with active customer engagements using a 3-person team where the predecessor required 23 people, legacy Oracle architecture, and $2.1M in NIH SBIR funding.</w:t>
      </w:r>
    </w:p>
    <w:p>
      <w:pPr>
        <w:pStyle w:val="ListParagraph"/>
        <w:spacing w:after="0" w:line="240" w:lineRule="auto"/>
        <w:numPr>
          <w:ilvl w:val="0"/>
          <w:numId w:val="2"/>
        </w:numPr>
      </w:pPr>
      <w:r>
        <w:rPr>
          <w:rFonts w:ascii="Calibri" w:hAnsi="Calibri"/>
          <w:sz w:val="22"/>
        </w:rPr>
        <w:t>Building Streamlit analytics UI for sales and marketing, enabling investor and client pitching directly from production ML outputs stored in PostgreSQL.</w:t>
      </w:r>
    </w:p>
    <w:p>
      <w:pPr>
        <w:pStyle w:val="ListParagraph"/>
        <w:spacing w:after="0" w:line="240" w:lineRule="auto"/>
        <w:numPr>
          <w:ilvl w:val="0"/>
          <w:numId w:val="2"/>
        </w:numPr>
      </w:pPr>
      <w:r>
        <w:rPr>
          <w:rFonts w:ascii="Calibri" w:hAnsi="Calibri"/>
          <w:sz w:val="22"/>
        </w:rPr>
        <w:t>Architecting MCP-enabled pipeline automation connecting PostgreSQL and Streamlit for fully automated data delivery to front-end outputs; designing multimodal ML architecture across EHR, imaging, and lab data with governance rigor validated at Invistics and NewsRx, positioned for market expansion on NIH grant release.</w:t>
      </w:r>
    </w:p>
    <w:p>
      <w:pPr>
        <w:spacing w:after="0" w:line="240" w:lineRule="auto"/>
      </w:pPr>
      <w:r>
        <w:rPr>
          <w:rFonts w:ascii="Calibri" w:hAnsi="Calibri"/>
          <w:b/>
          <w:sz w:val="22"/>
        </w:rPr>
        <w:t xml:space="preserve">Relevant Skills: </w:t>
      </w:r>
      <w:r>
        <w:rPr>
          <w:rFonts w:ascii="Calibri" w:hAnsi="Calibri"/>
          <w:sz w:val="22"/>
        </w:rPr>
        <w:t>Agentic AI, AI/ML Product Development, Clinical ML Applications, Healthcare Data Governance, NIH SBIR Grant Management, Multimodal Health Analytics, FDA Digital Health Compliance, MLOps Best Practices, Sales Analytics, Pipeline Automation, Cross-functional Research Collaboration</w:t>
      </w:r>
    </w:p>
    <w:p>
      <w:pPr>
        <w:spacing w:after="0" w:line="240" w:lineRule="auto"/>
      </w:pPr>
      <w:r>
        <w:rPr>
          <w:rFonts w:ascii="Calibri" w:hAnsi="Calibri"/>
          <w:b/>
          <w:sz w:val="22"/>
        </w:rPr>
        <w:t xml:space="preserve">Technical Skills: </w:t>
      </w:r>
      <w:r>
        <w:rPr>
          <w:rFonts w:ascii="Calibri" w:hAnsi="Calibri"/>
          <w:sz w:val="22"/>
        </w:rPr>
        <w:t>ML Pipeline Orchestration, Streamlit, PostgreSQL, Model Context Protocol (MCP), Experiment Tracking &amp; Model Registry, Version Control &amp; CI/CD, Python, Deep Learning Frameworks, Clinical Dashboard Development, Medical Imaging AI, Containerization &amp; Cloud-Native Architecture, Healthcare Data Standards (FHIR/HL7), FDA Digital Health Guidelines, NIH SBIR Compliance</w:t>
      </w:r>
    </w:p>
    <w:p>
      <w:pPr>
        <w:spacing w:line="240" w:lineRule="auto"/>
      </w:pPr>
    </w:p>
    <w:p>
      <w:pPr>
        <w:spacing w:after="0" w:line="240" w:lineRule="auto"/>
      </w:pPr>
      <w:r>
        <w:rPr>
          <w:rFonts w:ascii="Calibri" w:hAnsi="Calibri"/>
          <w:b/>
          <w:sz w:val="22"/>
        </w:rPr>
        <w:t>National Advisory Board founding member</w:t>
      </w:r>
    </w:p>
    <w:p>
      <w:pPr>
        <w:spacing w:after="0" w:line="240" w:lineRule="auto"/>
      </w:pPr>
      <w:r>
        <w:rPr>
          <w:rFonts w:ascii="Calibri" w:hAnsi="Calibri"/>
          <w:b/>
          <w:sz w:val="22"/>
        </w:rPr>
        <w:t>Street Grace, Atlanta, GA Remote (Paid Board Appointment)</w:t>
      </w:r>
    </w:p>
    <w:p>
      <w:pPr>
        <w:spacing w:after="0" w:line="240" w:lineRule="auto"/>
      </w:pPr>
      <w:r>
        <w:rPr>
          <w:rFonts w:ascii="Calibri" w:hAnsi="Calibri"/>
          <w:b/>
          <w:sz w:val="22"/>
        </w:rPr>
        <w:t>Aug 2025 to Present</w:t>
      </w:r>
    </w:p>
    <w:p>
      <w:pPr>
        <w:pStyle w:val="ListParagraph"/>
        <w:spacing w:after="0" w:line="240" w:lineRule="auto"/>
        <w:numPr>
          <w:ilvl w:val="0"/>
          <w:numId w:val="2"/>
        </w:numPr>
      </w:pPr>
      <w:r>
        <w:rPr>
          <w:rFonts w:ascii="Calibri" w:hAnsi="Calibri"/>
          <w:sz w:val="22"/>
        </w:rPr>
        <w:t>Engage in national forums and donor events, aligning outcome metrics with task force requirements and providing survivor-informed input on policy and technology initiatives for CSEC prevention.</w:t>
      </w:r>
    </w:p>
    <w:p>
      <w:pPr>
        <w:pStyle w:val="ListParagraph"/>
        <w:spacing w:after="0" w:line="240" w:lineRule="auto"/>
        <w:numPr>
          <w:ilvl w:val="0"/>
          <w:numId w:val="2"/>
        </w:numPr>
      </w:pPr>
      <w:r>
        <w:rPr>
          <w:rFonts w:ascii="Calibri" w:hAnsi="Calibri"/>
          <w:sz w:val="22"/>
        </w:rPr>
        <w:t>Advising municipalities and law enforcement on CSEC prevention for FIFA World Cup 2026.</w:t>
      </w:r>
    </w:p>
    <w:p>
      <w:pPr>
        <w:spacing w:line="240" w:lineRule="auto"/>
      </w:pPr>
    </w:p>
    <w:p>
      <w:pPr>
        <w:spacing w:after="0" w:line="240" w:lineRule="auto"/>
      </w:pPr>
      <w:r>
        <w:rPr>
          <w:rFonts w:ascii="Calibri" w:hAnsi="Calibri"/>
          <w:b/>
          <w:sz w:val="22"/>
        </w:rPr>
        <w:t>Advisory Council founding member</w:t>
      </w:r>
    </w:p>
    <w:p>
      <w:pPr>
        <w:spacing w:after="0" w:line="240" w:lineRule="auto"/>
      </w:pPr>
      <w:r>
        <w:rPr>
          <w:rFonts w:ascii="Calibri" w:hAnsi="Calibri"/>
          <w:b/>
          <w:sz w:val="22"/>
        </w:rPr>
        <w:t>Street Grace, Norcross, GA Remote (Paid Board Appointment)</w:t>
      </w:r>
    </w:p>
    <w:p>
      <w:pPr>
        <w:spacing w:after="0" w:line="240" w:lineRule="auto"/>
      </w:pPr>
      <w:r>
        <w:rPr>
          <w:rFonts w:ascii="Calibri" w:hAnsi="Calibri"/>
          <w:b/>
          <w:sz w:val="22"/>
        </w:rPr>
        <w:t>Aug 2015 to Dec 2023</w:t>
      </w:r>
    </w:p>
    <w:p>
      <w:pPr>
        <w:pStyle w:val="ListParagraph"/>
        <w:spacing w:after="0" w:line="240" w:lineRule="auto"/>
        <w:numPr>
          <w:ilvl w:val="0"/>
          <w:numId w:val="2"/>
        </w:numPr>
      </w:pPr>
      <w:r>
        <w:rPr>
          <w:rFonts w:ascii="Calibri" w:hAnsi="Calibri"/>
          <w:sz w:val="22"/>
        </w:rPr>
        <w:t>Provide survivor-informed guidance to prevent commercial sexual exploitation of children CSEC including demand reduction policy review program design and risk screening.</w:t>
      </w:r>
    </w:p>
    <w:p>
      <w:pPr>
        <w:pStyle w:val="ListParagraph"/>
        <w:spacing w:after="0" w:line="240" w:lineRule="auto"/>
        <w:numPr>
          <w:ilvl w:val="0"/>
          <w:numId w:val="2"/>
        </w:numPr>
      </w:pPr>
      <w:r>
        <w:rPr>
          <w:rFonts w:ascii="Calibri" w:hAnsi="Calibri"/>
          <w:sz w:val="22"/>
        </w:rPr>
        <w:t>Advise leadership on data and AI applications for CSEC prevention including privacy safeguards fairness reviews and technology-enabled outreach.</w:t>
      </w:r>
    </w:p>
    <w:p>
      <w:pPr>
        <w:spacing w:line="240" w:lineRule="auto"/>
      </w:pPr>
    </w:p>
    <w:p>
      <w:pPr>
        <w:spacing w:after="0" w:line="240" w:lineRule="auto"/>
      </w:pPr>
      <w:r>
        <w:rPr>
          <w:rFonts w:ascii="Calibri" w:hAnsi="Calibri"/>
          <w:b/>
          <w:sz w:val="22"/>
        </w:rPr>
        <w:t>Advisor, Behavioral Health Machine Learning and PaaS</w:t>
      </w:r>
    </w:p>
    <w:p>
      <w:pPr>
        <w:spacing w:after="0" w:line="240" w:lineRule="auto"/>
      </w:pPr>
      <w:r>
        <w:rPr>
          <w:rFonts w:ascii="Calibri" w:hAnsi="Calibri"/>
          <w:b/>
          <w:sz w:val="22"/>
        </w:rPr>
        <w:t>TQIntelligence, Atlanta, GA Remote (Pro Bono Engagement)</w:t>
      </w:r>
    </w:p>
    <w:p>
      <w:pPr>
        <w:spacing w:after="0" w:line="240" w:lineRule="auto"/>
      </w:pPr>
      <w:r>
        <w:rPr>
          <w:rFonts w:ascii="Calibri" w:hAnsi="Calibri"/>
          <w:b/>
          <w:sz w:val="22"/>
        </w:rPr>
        <w:t>Nov 2018 to Nov 2019</w:t>
      </w:r>
    </w:p>
    <w:p>
      <w:pPr>
        <w:pStyle w:val="ListParagraph"/>
        <w:spacing w:after="0" w:line="240" w:lineRule="auto"/>
        <w:numPr>
          <w:ilvl w:val="0"/>
          <w:numId w:val="2"/>
        </w:numPr>
      </w:pPr>
      <w:r>
        <w:rPr>
          <w:rFonts w:ascii="Calibri" w:hAnsi="Calibri"/>
          <w:sz w:val="22"/>
        </w:rPr>
        <w:t>Secured NSF SBIR Phase I award of $225,000 in Sep 2019 by building grant readiness at ATDC, translating clinical aims into technical milestones, and producing data governance and model validation artifacts.</w:t>
      </w:r>
    </w:p>
    <w:p>
      <w:pPr>
        <w:pStyle w:val="ListParagraph"/>
        <w:spacing w:after="0" w:line="240" w:lineRule="auto"/>
        <w:numPr>
          <w:ilvl w:val="0"/>
          <w:numId w:val="2"/>
        </w:numPr>
      </w:pPr>
      <w:r>
        <w:rPr>
          <w:rFonts w:ascii="Calibri" w:hAnsi="Calibri"/>
          <w:sz w:val="22"/>
        </w:rPr>
        <w:t>Identified about $3M in potential revenue recovery during pilots by cleansing behavioral health data and standing up HIPAA compliant AWS Spark ingestion for voice pattern, facial response, and EMR sources across pilot providers.</w:t>
      </w:r>
    </w:p>
    <w:p>
      <w:pPr>
        <w:spacing w:line="240" w:lineRule="auto"/>
      </w:pPr>
    </w:p>
    <w:p>
      <w:pPr>
        <w:spacing w:after="0" w:line="240" w:lineRule="auto"/>
      </w:pPr>
      <w:r>
        <w:rPr>
          <w:rFonts w:ascii="Calibri" w:hAnsi="Calibri"/>
          <w:b/>
          <w:sz w:val="22"/>
        </w:rPr>
        <w:t>Chief Data Scientist Principal Contributor Consultant</w:t>
      </w:r>
    </w:p>
    <w:p>
      <w:pPr>
        <w:spacing w:after="0" w:line="240" w:lineRule="auto"/>
      </w:pPr>
      <w:r>
        <w:rPr>
          <w:rFonts w:ascii="Calibri" w:hAnsi="Calibri"/>
          <w:b/>
          <w:sz w:val="22"/>
        </w:rPr>
        <w:t>Employer: Invistics Corporation | Agency: National Institute on Drug Abuse (NIDA), National Institutes of Health</w:t>
      </w:r>
    </w:p>
    <w:p>
      <w:pPr>
        <w:spacing w:after="0" w:line="240" w:lineRule="auto"/>
      </w:pPr>
      <w:r>
        <w:rPr>
          <w:rFonts w:ascii="Calibri" w:hAnsi="Calibri"/>
          <w:b/>
          <w:sz w:val="22"/>
        </w:rPr>
        <w:t>NIH SBIR Grant R44DA044083 (Initial award: 1R44DA044083-01)</w:t>
      </w:r>
    </w:p>
    <w:p>
      <w:pPr>
        <w:pStyle w:val="ListParagraph"/>
        <w:spacing w:after="0" w:line="240" w:lineRule="auto"/>
        <w:numPr>
          <w:ilvl w:val="0"/>
          <w:numId w:val="2"/>
        </w:numPr>
      </w:pPr>
      <w:r>
        <w:rPr>
          <w:rFonts w:ascii="Calibri" w:hAnsi="Calibri"/>
          <w:sz w:val="22"/>
        </w:rPr>
        <w:t>Funding: $2,117,324 total, June 2017 to June 2020 (inclusive of all supplements and closeout period)</w:t>
      </w:r>
    </w:p>
    <w:p>
      <w:pPr>
        <w:pStyle w:val="ListParagraph"/>
        <w:spacing w:after="0" w:line="240" w:lineRule="auto"/>
        <w:numPr>
          <w:ilvl w:val="0"/>
          <w:numId w:val="2"/>
        </w:numPr>
      </w:pPr>
      <w:r>
        <w:rPr>
          <w:rFonts w:ascii="Calibri" w:hAnsi="Calibri"/>
          <w:sz w:val="22"/>
        </w:rPr>
        <w:t>Led analytic design, multi-system data integration (EHR, ADM, inventory, purchasing, workforce data), and predictive modeling for enterprise diversion detection.</w:t>
      </w:r>
    </w:p>
    <w:p>
      <w:pPr>
        <w:pStyle w:val="ListParagraph"/>
        <w:spacing w:after="0" w:line="240" w:lineRule="auto"/>
        <w:numPr>
          <w:ilvl w:val="0"/>
          <w:numId w:val="2"/>
        </w:numPr>
      </w:pPr>
      <w:r>
        <w:rPr>
          <w:rFonts w:ascii="Calibri" w:hAnsi="Calibri"/>
          <w:sz w:val="22"/>
        </w:rPr>
        <w:t>Delivered Phase I/II SBIR outcomes and NIH HEAL Initiative supplements; ensured regulatory alignment and full grant reporting.</w:t>
      </w:r>
    </w:p>
    <w:p>
      <w:pPr>
        <w:spacing w:line="240" w:lineRule="auto"/>
      </w:pPr>
    </w:p>
    <w:p>
      <w:pPr>
        <w:spacing w:after="0" w:line="240" w:lineRule="auto"/>
      </w:pPr>
      <w:r>
        <w:rPr>
          <w:rFonts w:ascii="Calibri" w:hAnsi="Calibri"/>
          <w:b/>
          <w:caps/>
          <w:sz w:val="22"/>
        </w:rPr>
        <w:t>Education</w:t>
      </w:r>
    </w:p>
    <w:p>
      <w:pPr>
        <w:spacing w:line="240" w:lineRule="auto"/>
      </w:pPr>
    </w:p>
    <w:p>
      <w:pPr>
        <w:spacing w:after="0" w:line="240" w:lineRule="auto"/>
      </w:pPr>
      <w:r>
        <w:rPr>
          <w:rFonts w:ascii="Calibri" w:hAnsi="Calibri"/>
          <w:b/>
          <w:sz w:val="22"/>
        </w:rPr>
        <w:t>Master of Divinity (MDiv), Metro Atlanta Seminary, Johns Creek, GA, 2015</w:t>
      </w:r>
    </w:p>
    <w:p>
      <w:pPr>
        <w:spacing w:after="0" w:line="240" w:lineRule="auto"/>
      </w:pPr>
      <w:r>
        <w:rPr>
          <w:rFonts w:ascii="Calibri" w:hAnsi="Calibri"/>
          <w:b/>
          <w:sz w:val="22"/>
        </w:rPr>
        <w:t>Master of Business Administration (MBA), Rollins College, Crummer Graduate School of Business, Winter Park, FL, 1993</w:t>
      </w:r>
    </w:p>
    <w:p>
      <w:pPr>
        <w:spacing w:after="0" w:line="240" w:lineRule="auto"/>
      </w:pPr>
      <w:r>
        <w:rPr>
          <w:rFonts w:ascii="Calibri" w:hAnsi="Calibri"/>
          <w:b/>
          <w:sz w:val="22"/>
        </w:rPr>
        <w:t>Bachelor of Science in Pharmacy (BS), University of New Mexico College of Pharmacy, Albuquerque, NM, 1984</w:t>
      </w:r>
    </w:p>
    <w:p>
      <w:pPr>
        <w:spacing w:line="240" w:lineRule="auto"/>
      </w:pPr>
    </w:p>
    <w:p>
      <w:pPr>
        <w:spacing w:after="0" w:line="240" w:lineRule="auto"/>
      </w:pPr>
      <w:r>
        <w:rPr>
          <w:rFonts w:ascii="Calibri" w:hAnsi="Calibri"/>
          <w:b/>
          <w:caps/>
          <w:sz w:val="22"/>
        </w:rPr>
        <w:t>Certifications and Licenses</w:t>
      </w:r>
    </w:p>
    <w:p>
      <w:pPr>
        <w:spacing w:line="240" w:lineRule="auto"/>
      </w:pPr>
    </w:p>
    <w:p>
      <w:pPr>
        <w:pStyle w:val="ListParagraph"/>
        <w:spacing w:after="0" w:line="240" w:lineRule="auto"/>
        <w:numPr>
          <w:ilvl w:val="0"/>
          <w:numId w:val="2"/>
        </w:numPr>
      </w:pPr>
      <w:r>
        <w:rPr>
          <w:rFonts w:ascii="Calibri" w:hAnsi="Calibri"/>
          <w:sz w:val="22"/>
        </w:rPr>
        <w:t>Registered Nuclear Pharmacist 1984 to Present</w:t>
      </w:r>
    </w:p>
    <w:p>
      <w:pPr>
        <w:pStyle w:val="ListParagraph"/>
        <w:spacing w:after="0" w:line="240" w:lineRule="auto"/>
        <w:numPr>
          <w:ilvl w:val="0"/>
          <w:numId w:val="2"/>
        </w:numPr>
      </w:pPr>
      <w:r>
        <w:rPr>
          <w:rFonts w:ascii="Calibri" w:hAnsi="Calibri"/>
          <w:sz w:val="22"/>
        </w:rPr>
        <w:t>Registered Pharmacist 1984 to Present</w:t>
      </w:r>
    </w:p>
    <w:p>
      <w:pPr>
        <w:pStyle w:val="ListParagraph"/>
        <w:spacing w:after="0" w:line="240" w:lineRule="auto"/>
        <w:numPr>
          <w:ilvl w:val="0"/>
          <w:numId w:val="2"/>
        </w:numPr>
      </w:pPr>
      <w:r>
        <w:rPr>
          <w:rFonts w:ascii="Calibri" w:hAnsi="Calibri"/>
          <w:sz w:val="22"/>
        </w:rPr>
        <w:t>Lean Six Sigma Black Belt Georgia State University 2015</w:t>
      </w:r>
    </w:p>
    <w:p>
      <w:pPr>
        <w:pStyle w:val="ListParagraph"/>
        <w:spacing w:after="0" w:line="240" w:lineRule="auto"/>
        <w:numPr>
          <w:ilvl w:val="0"/>
          <w:numId w:val="2"/>
        </w:numPr>
      </w:pPr>
      <w:r>
        <w:rPr>
          <w:rFonts w:ascii="Calibri" w:hAnsi="Calibri"/>
          <w:sz w:val="22"/>
        </w:rPr>
        <w:t>Authorized User and Handler of Radioactive Materials, Nuclear Regulatory Commission (NRC) 1984 to 2005</w:t>
      </w:r>
    </w:p>
    <w:p>
      <w:pPr>
        <w:pStyle w:val="ListParagraph"/>
        <w:spacing w:after="0" w:line="240" w:lineRule="auto"/>
        <w:numPr>
          <w:ilvl w:val="0"/>
          <w:numId w:val="2"/>
        </w:numPr>
      </w:pPr>
      <w:r>
        <w:rPr>
          <w:rFonts w:ascii="Calibri" w:hAnsi="Calibri"/>
          <w:sz w:val="22"/>
        </w:rPr>
        <w:t>Software as a Medical Device (SaMD) Mayo Clinic 2025</w:t>
      </w:r>
    </w:p>
    <w:sectPr w:rsidR="00BC6278" w:rsidRPr="00D5136E" w:rsidSect="00D513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BBC"/>
    <w:multiLevelType w:val="hybridMultilevel"/>
    <w:tmpl w:val="AC18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C36DE"/>
    <w:multiLevelType w:val="hybridMultilevel"/>
    <w:tmpl w:val="2A6AA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E0F95"/>
    <w:multiLevelType w:val="hybridMultilevel"/>
    <w:tmpl w:val="17A2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33B9B"/>
    <w:multiLevelType w:val="multilevel"/>
    <w:tmpl w:val="F750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007EA"/>
    <w:multiLevelType w:val="hybridMultilevel"/>
    <w:tmpl w:val="8E665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3C2FB0"/>
    <w:multiLevelType w:val="hybridMultilevel"/>
    <w:tmpl w:val="5DE8F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493208"/>
    <w:multiLevelType w:val="hybridMultilevel"/>
    <w:tmpl w:val="3E36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342F5D"/>
    <w:multiLevelType w:val="hybridMultilevel"/>
    <w:tmpl w:val="84EE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5524CC"/>
    <w:multiLevelType w:val="hybridMultilevel"/>
    <w:tmpl w:val="D7B6F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F7FFC"/>
    <w:multiLevelType w:val="hybridMultilevel"/>
    <w:tmpl w:val="63A8A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1C1C08"/>
    <w:multiLevelType w:val="hybridMultilevel"/>
    <w:tmpl w:val="127A4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12006E"/>
    <w:multiLevelType w:val="hybridMultilevel"/>
    <w:tmpl w:val="64AC7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4E5BE8"/>
    <w:multiLevelType w:val="hybridMultilevel"/>
    <w:tmpl w:val="51245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4259B4"/>
    <w:multiLevelType w:val="hybridMultilevel"/>
    <w:tmpl w:val="3FDC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4942FC"/>
    <w:multiLevelType w:val="hybridMultilevel"/>
    <w:tmpl w:val="F15AD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775007">
    <w:abstractNumId w:val="13"/>
  </w:num>
  <w:num w:numId="2" w16cid:durableId="1347560088">
    <w:abstractNumId w:val="9"/>
  </w:num>
  <w:num w:numId="3" w16cid:durableId="1609585078">
    <w:abstractNumId w:val="2"/>
  </w:num>
  <w:num w:numId="4" w16cid:durableId="2131238246">
    <w:abstractNumId w:val="4"/>
  </w:num>
  <w:num w:numId="5" w16cid:durableId="1717122001">
    <w:abstractNumId w:val="5"/>
  </w:num>
  <w:num w:numId="6" w16cid:durableId="963921699">
    <w:abstractNumId w:val="12"/>
  </w:num>
  <w:num w:numId="7" w16cid:durableId="1353262285">
    <w:abstractNumId w:val="0"/>
  </w:num>
  <w:num w:numId="8" w16cid:durableId="377899324">
    <w:abstractNumId w:val="8"/>
  </w:num>
  <w:num w:numId="9" w16cid:durableId="1707636258">
    <w:abstractNumId w:val="7"/>
  </w:num>
  <w:num w:numId="10" w16cid:durableId="957445373">
    <w:abstractNumId w:val="11"/>
  </w:num>
  <w:num w:numId="11" w16cid:durableId="800734144">
    <w:abstractNumId w:val="14"/>
  </w:num>
  <w:num w:numId="12" w16cid:durableId="524633364">
    <w:abstractNumId w:val="10"/>
  </w:num>
  <w:num w:numId="13" w16cid:durableId="1354572800">
    <w:abstractNumId w:val="6"/>
  </w:num>
  <w:num w:numId="14" w16cid:durableId="842552597">
    <w:abstractNumId w:val="3"/>
  </w:num>
  <w:num w:numId="15" w16cid:durableId="608702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LY0tTS0tDC2MLEwNDNQ0lEKTi0uzszPAykwMqgFADL/Bt8tAAAA"/>
  </w:docVars>
  <w:rsids>
    <w:rsidRoot w:val="00D5136E"/>
    <w:rsid w:val="00005FA5"/>
    <w:rsid w:val="0001338B"/>
    <w:rsid w:val="0002219E"/>
    <w:rsid w:val="00041327"/>
    <w:rsid w:val="00041A87"/>
    <w:rsid w:val="000429CA"/>
    <w:rsid w:val="00043DA2"/>
    <w:rsid w:val="000470E9"/>
    <w:rsid w:val="0007412C"/>
    <w:rsid w:val="00094B91"/>
    <w:rsid w:val="00094C90"/>
    <w:rsid w:val="00095F7D"/>
    <w:rsid w:val="000A7A44"/>
    <w:rsid w:val="000C58F7"/>
    <w:rsid w:val="000C663F"/>
    <w:rsid w:val="0012049E"/>
    <w:rsid w:val="001234B7"/>
    <w:rsid w:val="00137A40"/>
    <w:rsid w:val="00173081"/>
    <w:rsid w:val="001800B8"/>
    <w:rsid w:val="001801FC"/>
    <w:rsid w:val="001936EA"/>
    <w:rsid w:val="001B6857"/>
    <w:rsid w:val="001D7C16"/>
    <w:rsid w:val="001E26E4"/>
    <w:rsid w:val="001E390F"/>
    <w:rsid w:val="001F2920"/>
    <w:rsid w:val="001F5EFD"/>
    <w:rsid w:val="00204660"/>
    <w:rsid w:val="0023116B"/>
    <w:rsid w:val="002463A9"/>
    <w:rsid w:val="002771D4"/>
    <w:rsid w:val="002B3593"/>
    <w:rsid w:val="002B6E84"/>
    <w:rsid w:val="002C57CA"/>
    <w:rsid w:val="002D4AA6"/>
    <w:rsid w:val="002D5B24"/>
    <w:rsid w:val="00310E83"/>
    <w:rsid w:val="00316495"/>
    <w:rsid w:val="00322A1D"/>
    <w:rsid w:val="00335A9D"/>
    <w:rsid w:val="003574EA"/>
    <w:rsid w:val="00357A26"/>
    <w:rsid w:val="00376302"/>
    <w:rsid w:val="00390A2D"/>
    <w:rsid w:val="00394745"/>
    <w:rsid w:val="003A0B52"/>
    <w:rsid w:val="003A24B7"/>
    <w:rsid w:val="003B74C5"/>
    <w:rsid w:val="003C1E68"/>
    <w:rsid w:val="003C4ACD"/>
    <w:rsid w:val="003C70F4"/>
    <w:rsid w:val="003E087C"/>
    <w:rsid w:val="004124B2"/>
    <w:rsid w:val="00426F6B"/>
    <w:rsid w:val="00451912"/>
    <w:rsid w:val="00462597"/>
    <w:rsid w:val="00463D45"/>
    <w:rsid w:val="004904DD"/>
    <w:rsid w:val="0049055F"/>
    <w:rsid w:val="00491D6A"/>
    <w:rsid w:val="004A1E09"/>
    <w:rsid w:val="004C5CD1"/>
    <w:rsid w:val="004D1B1F"/>
    <w:rsid w:val="00532499"/>
    <w:rsid w:val="00571424"/>
    <w:rsid w:val="005A671C"/>
    <w:rsid w:val="005C1CAE"/>
    <w:rsid w:val="005C6F50"/>
    <w:rsid w:val="005D2619"/>
    <w:rsid w:val="005F5798"/>
    <w:rsid w:val="00605E47"/>
    <w:rsid w:val="0061145E"/>
    <w:rsid w:val="00660CCE"/>
    <w:rsid w:val="006A7666"/>
    <w:rsid w:val="006C4389"/>
    <w:rsid w:val="006C7343"/>
    <w:rsid w:val="006E0A28"/>
    <w:rsid w:val="00763E34"/>
    <w:rsid w:val="007D40D9"/>
    <w:rsid w:val="007D49E7"/>
    <w:rsid w:val="007F209C"/>
    <w:rsid w:val="00805915"/>
    <w:rsid w:val="00810479"/>
    <w:rsid w:val="0086326C"/>
    <w:rsid w:val="00883618"/>
    <w:rsid w:val="00890C7F"/>
    <w:rsid w:val="0089175A"/>
    <w:rsid w:val="00897981"/>
    <w:rsid w:val="008F6E7C"/>
    <w:rsid w:val="00905AFF"/>
    <w:rsid w:val="00906A86"/>
    <w:rsid w:val="00933D92"/>
    <w:rsid w:val="00953095"/>
    <w:rsid w:val="009809D5"/>
    <w:rsid w:val="00981F30"/>
    <w:rsid w:val="009C0D00"/>
    <w:rsid w:val="009D139E"/>
    <w:rsid w:val="009D33F2"/>
    <w:rsid w:val="009E2284"/>
    <w:rsid w:val="00A02031"/>
    <w:rsid w:val="00A1336D"/>
    <w:rsid w:val="00A134D6"/>
    <w:rsid w:val="00A2062F"/>
    <w:rsid w:val="00A311C0"/>
    <w:rsid w:val="00A34FCA"/>
    <w:rsid w:val="00A459A0"/>
    <w:rsid w:val="00A7722F"/>
    <w:rsid w:val="00A85615"/>
    <w:rsid w:val="00A96BC3"/>
    <w:rsid w:val="00AB6789"/>
    <w:rsid w:val="00AC54C1"/>
    <w:rsid w:val="00AE35A5"/>
    <w:rsid w:val="00B00AF3"/>
    <w:rsid w:val="00B01C31"/>
    <w:rsid w:val="00B42332"/>
    <w:rsid w:val="00B53308"/>
    <w:rsid w:val="00B53AE8"/>
    <w:rsid w:val="00B64062"/>
    <w:rsid w:val="00B957E4"/>
    <w:rsid w:val="00B9592B"/>
    <w:rsid w:val="00BC6278"/>
    <w:rsid w:val="00BF67CA"/>
    <w:rsid w:val="00C024EB"/>
    <w:rsid w:val="00C26036"/>
    <w:rsid w:val="00C30A9B"/>
    <w:rsid w:val="00C3177D"/>
    <w:rsid w:val="00C32218"/>
    <w:rsid w:val="00C44FE1"/>
    <w:rsid w:val="00C70795"/>
    <w:rsid w:val="00C839C1"/>
    <w:rsid w:val="00CA0A5C"/>
    <w:rsid w:val="00CB681B"/>
    <w:rsid w:val="00CB711C"/>
    <w:rsid w:val="00CD7AA5"/>
    <w:rsid w:val="00D03D91"/>
    <w:rsid w:val="00D1780C"/>
    <w:rsid w:val="00D229DD"/>
    <w:rsid w:val="00D27CB8"/>
    <w:rsid w:val="00D35DC6"/>
    <w:rsid w:val="00D5136E"/>
    <w:rsid w:val="00DA03CF"/>
    <w:rsid w:val="00DA13CB"/>
    <w:rsid w:val="00DD6AC5"/>
    <w:rsid w:val="00E02093"/>
    <w:rsid w:val="00E07B78"/>
    <w:rsid w:val="00E13EFE"/>
    <w:rsid w:val="00E16BF1"/>
    <w:rsid w:val="00E22001"/>
    <w:rsid w:val="00E30990"/>
    <w:rsid w:val="00E6229B"/>
    <w:rsid w:val="00E6633E"/>
    <w:rsid w:val="00E74588"/>
    <w:rsid w:val="00E94E76"/>
    <w:rsid w:val="00E96E7E"/>
    <w:rsid w:val="00EF42F0"/>
    <w:rsid w:val="00F052DB"/>
    <w:rsid w:val="00F204F3"/>
    <w:rsid w:val="00F30588"/>
    <w:rsid w:val="00F402EB"/>
    <w:rsid w:val="00F502D2"/>
    <w:rsid w:val="00F56C22"/>
    <w:rsid w:val="00F81CE0"/>
    <w:rsid w:val="00F842CC"/>
    <w:rsid w:val="00FB2F92"/>
    <w:rsid w:val="00FC0A69"/>
    <w:rsid w:val="00FE6735"/>
    <w:rsid w:val="00FF6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34938"/>
  <w15:chartTrackingRefBased/>
  <w15:docId w15:val="{6D169726-DD5E-4A25-894D-29313E62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19E"/>
  </w:style>
  <w:style w:type="paragraph" w:styleId="Heading1">
    <w:name w:val="heading 1"/>
    <w:basedOn w:val="Normal"/>
    <w:next w:val="Normal"/>
    <w:link w:val="Heading1Char"/>
    <w:uiPriority w:val="9"/>
    <w:qFormat/>
    <w:rsid w:val="00D513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13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13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13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13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13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13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13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13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3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13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13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13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13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13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13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13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136E"/>
    <w:rPr>
      <w:rFonts w:eastAsiaTheme="majorEastAsia" w:cstheme="majorBidi"/>
      <w:color w:val="272727" w:themeColor="text1" w:themeTint="D8"/>
    </w:rPr>
  </w:style>
  <w:style w:type="paragraph" w:styleId="Title">
    <w:name w:val="Title"/>
    <w:basedOn w:val="Normal"/>
    <w:next w:val="Normal"/>
    <w:link w:val="TitleChar"/>
    <w:uiPriority w:val="10"/>
    <w:qFormat/>
    <w:rsid w:val="00D513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13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13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13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136E"/>
    <w:pPr>
      <w:spacing w:before="160"/>
      <w:jc w:val="center"/>
    </w:pPr>
    <w:rPr>
      <w:i/>
      <w:iCs/>
      <w:color w:val="404040" w:themeColor="text1" w:themeTint="BF"/>
    </w:rPr>
  </w:style>
  <w:style w:type="character" w:customStyle="1" w:styleId="QuoteChar">
    <w:name w:val="Quote Char"/>
    <w:basedOn w:val="DefaultParagraphFont"/>
    <w:link w:val="Quote"/>
    <w:uiPriority w:val="29"/>
    <w:rsid w:val="00D5136E"/>
    <w:rPr>
      <w:i/>
      <w:iCs/>
      <w:color w:val="404040" w:themeColor="text1" w:themeTint="BF"/>
    </w:rPr>
  </w:style>
  <w:style w:type="paragraph" w:styleId="ListParagraph">
    <w:name w:val="List Paragraph"/>
    <w:basedOn w:val="Normal"/>
    <w:uiPriority w:val="34"/>
    <w:qFormat/>
    <w:rsid w:val="00D5136E"/>
    <w:pPr>
      <w:ind w:left="720"/>
      <w:contextualSpacing/>
    </w:pPr>
  </w:style>
  <w:style w:type="character" w:styleId="IntenseEmphasis">
    <w:name w:val="Intense Emphasis"/>
    <w:basedOn w:val="DefaultParagraphFont"/>
    <w:uiPriority w:val="21"/>
    <w:qFormat/>
    <w:rsid w:val="00D5136E"/>
    <w:rPr>
      <w:i/>
      <w:iCs/>
      <w:color w:val="0F4761" w:themeColor="accent1" w:themeShade="BF"/>
    </w:rPr>
  </w:style>
  <w:style w:type="paragraph" w:styleId="IntenseQuote">
    <w:name w:val="Intense Quote"/>
    <w:basedOn w:val="Normal"/>
    <w:next w:val="Normal"/>
    <w:link w:val="IntenseQuoteChar"/>
    <w:uiPriority w:val="30"/>
    <w:qFormat/>
    <w:rsid w:val="00D513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136E"/>
    <w:rPr>
      <w:i/>
      <w:iCs/>
      <w:color w:val="0F4761" w:themeColor="accent1" w:themeShade="BF"/>
    </w:rPr>
  </w:style>
  <w:style w:type="character" w:styleId="IntenseReference">
    <w:name w:val="Intense Reference"/>
    <w:basedOn w:val="DefaultParagraphFont"/>
    <w:uiPriority w:val="32"/>
    <w:qFormat/>
    <w:rsid w:val="00D5136E"/>
    <w:rPr>
      <w:b/>
      <w:bCs/>
      <w:smallCaps/>
      <w:color w:val="0F4761" w:themeColor="accent1" w:themeShade="BF"/>
      <w:spacing w:val="5"/>
    </w:rPr>
  </w:style>
  <w:style w:type="character" w:styleId="Hyperlink">
    <w:name w:val="Hyperlink"/>
    <w:basedOn w:val="DefaultParagraphFont"/>
    <w:uiPriority w:val="99"/>
    <w:unhideWhenUsed/>
    <w:rsid w:val="00043DA2"/>
    <w:rPr>
      <w:color w:val="467886" w:themeColor="hyperlink"/>
      <w:u w:val="single"/>
    </w:rPr>
  </w:style>
  <w:style w:type="character" w:styleId="UnresolvedMention">
    <w:name w:val="Unresolved Mention"/>
    <w:basedOn w:val="DefaultParagraphFont"/>
    <w:uiPriority w:val="99"/>
    <w:semiHidden/>
    <w:unhideWhenUsed/>
    <w:rsid w:val="00043DA2"/>
    <w:rPr>
      <w:color w:val="605E5C"/>
      <w:shd w:val="clear" w:color="auto" w:fill="E1DFDD"/>
    </w:rPr>
  </w:style>
  <w:style w:type="paragraph" w:styleId="NormalWeb">
    <w:name w:val="Normal (Web)"/>
    <w:basedOn w:val="Normal"/>
    <w:uiPriority w:val="99"/>
    <w:unhideWhenUsed/>
    <w:rsid w:val="0057142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714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95738">
      <w:bodyDiv w:val="1"/>
      <w:marLeft w:val="0"/>
      <w:marRight w:val="0"/>
      <w:marTop w:val="0"/>
      <w:marBottom w:val="0"/>
      <w:divBdr>
        <w:top w:val="none" w:sz="0" w:space="0" w:color="auto"/>
        <w:left w:val="none" w:sz="0" w:space="0" w:color="auto"/>
        <w:bottom w:val="none" w:sz="0" w:space="0" w:color="auto"/>
        <w:right w:val="none" w:sz="0" w:space="0" w:color="auto"/>
      </w:divBdr>
    </w:div>
    <w:div w:id="323510272">
      <w:bodyDiv w:val="1"/>
      <w:marLeft w:val="0"/>
      <w:marRight w:val="0"/>
      <w:marTop w:val="0"/>
      <w:marBottom w:val="0"/>
      <w:divBdr>
        <w:top w:val="none" w:sz="0" w:space="0" w:color="auto"/>
        <w:left w:val="none" w:sz="0" w:space="0" w:color="auto"/>
        <w:bottom w:val="none" w:sz="0" w:space="0" w:color="auto"/>
        <w:right w:val="none" w:sz="0" w:space="0" w:color="auto"/>
      </w:divBdr>
    </w:div>
    <w:div w:id="885412814">
      <w:bodyDiv w:val="1"/>
      <w:marLeft w:val="0"/>
      <w:marRight w:val="0"/>
      <w:marTop w:val="0"/>
      <w:marBottom w:val="0"/>
      <w:divBdr>
        <w:top w:val="none" w:sz="0" w:space="0" w:color="auto"/>
        <w:left w:val="none" w:sz="0" w:space="0" w:color="auto"/>
        <w:bottom w:val="none" w:sz="0" w:space="0" w:color="auto"/>
        <w:right w:val="none" w:sz="0" w:space="0" w:color="auto"/>
      </w:divBdr>
    </w:div>
    <w:div w:id="143447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johnholstein/" TargetMode="External"/><Relationship Id="rId5" Type="http://schemas.openxmlformats.org/officeDocument/2006/relationships/hyperlink" Target="mailto:jholstei@iclou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4110</Words>
  <Characters>23430</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Kartik</dc:creator>
  <cp:keywords/>
  <dc:description/>
  <cp:lastModifiedBy>John H</cp:lastModifiedBy>
  <cp:revision>2</cp:revision>
  <cp:lastPrinted>2025-09-15T12:30:00Z</cp:lastPrinted>
  <dcterms:created xsi:type="dcterms:W3CDTF">2025-12-19T03:52:00Z</dcterms:created>
  <dcterms:modified xsi:type="dcterms:W3CDTF">2025-12-19T03:52:00Z</dcterms:modified>
</cp:coreProperties>
</file>